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3764A" w14:textId="77777777" w:rsidR="00726BD5" w:rsidRDefault="00726BD5" w:rsidP="00B0059B">
      <w:pPr>
        <w:pBdr>
          <w:top w:val="nil"/>
          <w:left w:val="nil"/>
          <w:bottom w:val="nil"/>
          <w:right w:val="nil"/>
          <w:between w:val="nil"/>
        </w:pBdr>
        <w:spacing w:line="360" w:lineRule="auto"/>
        <w:ind w:left="1440" w:hanging="1440"/>
        <w:jc w:val="center"/>
        <w:rPr>
          <w:rFonts w:ascii="Montserrat" w:hAnsi="Montserrat"/>
          <w:b/>
          <w:bCs/>
        </w:rPr>
      </w:pPr>
      <w:bookmarkStart w:id="0" w:name="_Hlk172655626"/>
      <w:bookmarkStart w:id="1" w:name="_Hlk157387237"/>
      <w:bookmarkEnd w:id="0"/>
    </w:p>
    <w:p w14:paraId="4286E27D" w14:textId="44D3BA6B" w:rsidR="00B0059B" w:rsidRPr="00726BD5" w:rsidRDefault="00B0059B" w:rsidP="00B0059B">
      <w:pPr>
        <w:pBdr>
          <w:top w:val="nil"/>
          <w:left w:val="nil"/>
          <w:bottom w:val="nil"/>
          <w:right w:val="nil"/>
          <w:between w:val="nil"/>
        </w:pBdr>
        <w:spacing w:line="360" w:lineRule="auto"/>
        <w:ind w:left="1440" w:hanging="1440"/>
        <w:jc w:val="center"/>
        <w:rPr>
          <w:rFonts w:ascii="Montserrat" w:hAnsi="Montserrat"/>
          <w:b/>
          <w:bCs/>
        </w:rPr>
      </w:pPr>
      <w:r w:rsidRPr="00726BD5">
        <w:rPr>
          <w:rFonts w:ascii="Montserrat" w:hAnsi="Montserrat"/>
          <w:b/>
          <w:bCs/>
        </w:rPr>
        <w:t xml:space="preserve">NOTAS A LOS ESTADOS FINANCIEROS CONSOLIDADOS </w:t>
      </w:r>
    </w:p>
    <w:p w14:paraId="4BABB5FE" w14:textId="77777777" w:rsidR="00B0059B" w:rsidRPr="00726BD5" w:rsidRDefault="00B0059B" w:rsidP="00B0059B">
      <w:pPr>
        <w:pBdr>
          <w:top w:val="nil"/>
          <w:left w:val="nil"/>
          <w:bottom w:val="nil"/>
          <w:right w:val="nil"/>
          <w:between w:val="nil"/>
        </w:pBdr>
        <w:spacing w:line="360" w:lineRule="auto"/>
        <w:ind w:left="1440" w:hanging="1440"/>
        <w:jc w:val="center"/>
        <w:rPr>
          <w:rFonts w:ascii="Montserrat" w:hAnsi="Montserrat"/>
          <w:b/>
          <w:bCs/>
        </w:rPr>
      </w:pPr>
      <w:r w:rsidRPr="00726BD5">
        <w:rPr>
          <w:rFonts w:ascii="Montserrat" w:hAnsi="Montserrat"/>
          <w:b/>
          <w:bCs/>
        </w:rPr>
        <w:t>DEL PODER EJECUTIVO</w:t>
      </w:r>
    </w:p>
    <w:p w14:paraId="1571B049" w14:textId="77777777" w:rsidR="00B0059B" w:rsidRPr="00726BD5" w:rsidRDefault="00B0059B" w:rsidP="00B0059B">
      <w:pPr>
        <w:pBdr>
          <w:top w:val="nil"/>
          <w:left w:val="nil"/>
          <w:bottom w:val="nil"/>
          <w:right w:val="nil"/>
          <w:between w:val="nil"/>
        </w:pBdr>
        <w:spacing w:line="360" w:lineRule="auto"/>
        <w:jc w:val="both"/>
        <w:rPr>
          <w:rFonts w:ascii="Montserrat" w:hAnsi="Montserrat"/>
        </w:rPr>
      </w:pPr>
    </w:p>
    <w:p w14:paraId="4584A049" w14:textId="4A12FAFB" w:rsidR="00B0059B" w:rsidRPr="00726BD5" w:rsidRDefault="00B0059B" w:rsidP="00B0059B">
      <w:pPr>
        <w:pBdr>
          <w:top w:val="nil"/>
          <w:left w:val="nil"/>
          <w:bottom w:val="nil"/>
          <w:right w:val="nil"/>
          <w:between w:val="nil"/>
        </w:pBdr>
        <w:jc w:val="both"/>
        <w:rPr>
          <w:rFonts w:ascii="Montserrat" w:hAnsi="Montserrat"/>
        </w:rPr>
      </w:pPr>
      <w:r w:rsidRPr="00726BD5">
        <w:rPr>
          <w:rFonts w:ascii="Montserrat" w:hAnsi="Montserrat"/>
        </w:rPr>
        <w:t xml:space="preserve">Las notas a los Estados Financieros Consolidados del Poder Ejecutivo </w:t>
      </w:r>
      <w:r w:rsidR="00131DE1" w:rsidRPr="00726BD5">
        <w:rPr>
          <w:rFonts w:ascii="Montserrat" w:hAnsi="Montserrat"/>
        </w:rPr>
        <w:t>con corte al 30 de junio de 2025</w:t>
      </w:r>
      <w:r w:rsidRPr="00726BD5">
        <w:rPr>
          <w:rFonts w:ascii="Montserrat" w:hAnsi="Montserrat"/>
        </w:rPr>
        <w:t>, están estructuradas y elaboradas de conformidad con el artículo 46, fracción I; inciso g), y 49 de la Ley General de Contabilidad Gubernamental, así como a la normatividad emitida por el Consejo Nacional de Armonización Contable (CONAC), con los siguientes apartados:</w:t>
      </w:r>
    </w:p>
    <w:p w14:paraId="0C05DA1A" w14:textId="77777777" w:rsidR="00B0059B" w:rsidRPr="00726BD5" w:rsidRDefault="00B0059B" w:rsidP="00B0059B">
      <w:pPr>
        <w:pBdr>
          <w:top w:val="nil"/>
          <w:left w:val="nil"/>
          <w:bottom w:val="nil"/>
          <w:right w:val="nil"/>
          <w:between w:val="nil"/>
        </w:pBdr>
        <w:jc w:val="both"/>
        <w:rPr>
          <w:rFonts w:ascii="Montserrat" w:hAnsi="Montserrat"/>
        </w:rPr>
      </w:pPr>
    </w:p>
    <w:p w14:paraId="578CD928" w14:textId="77777777" w:rsidR="00B0059B" w:rsidRPr="00726BD5" w:rsidRDefault="00B0059B" w:rsidP="00B0059B">
      <w:pPr>
        <w:numPr>
          <w:ilvl w:val="0"/>
          <w:numId w:val="1"/>
        </w:numPr>
        <w:pBdr>
          <w:top w:val="nil"/>
          <w:left w:val="nil"/>
          <w:bottom w:val="nil"/>
          <w:right w:val="nil"/>
          <w:between w:val="nil"/>
        </w:pBdr>
        <w:jc w:val="both"/>
        <w:rPr>
          <w:rFonts w:ascii="Montserrat" w:hAnsi="Montserrat"/>
        </w:rPr>
      </w:pPr>
      <w:r w:rsidRPr="00726BD5">
        <w:rPr>
          <w:rFonts w:ascii="Montserrat" w:hAnsi="Montserrat"/>
        </w:rPr>
        <w:t>Notas de Gestión Administrativa.</w:t>
      </w:r>
    </w:p>
    <w:p w14:paraId="5173B8D5" w14:textId="77777777" w:rsidR="00B0059B" w:rsidRPr="00726BD5" w:rsidRDefault="00B0059B" w:rsidP="00B0059B">
      <w:pPr>
        <w:numPr>
          <w:ilvl w:val="0"/>
          <w:numId w:val="1"/>
        </w:numPr>
        <w:pBdr>
          <w:top w:val="nil"/>
          <w:left w:val="nil"/>
          <w:bottom w:val="nil"/>
          <w:right w:val="nil"/>
          <w:between w:val="nil"/>
        </w:pBdr>
        <w:jc w:val="both"/>
        <w:rPr>
          <w:rFonts w:ascii="Montserrat" w:hAnsi="Montserrat"/>
        </w:rPr>
      </w:pPr>
      <w:r w:rsidRPr="00726BD5">
        <w:rPr>
          <w:rFonts w:ascii="Montserrat" w:hAnsi="Montserrat"/>
        </w:rPr>
        <w:t>Notas de Desglose.</w:t>
      </w:r>
    </w:p>
    <w:p w14:paraId="5F86B365" w14:textId="77777777" w:rsidR="00B0059B" w:rsidRPr="00726BD5" w:rsidRDefault="00B0059B" w:rsidP="00B0059B">
      <w:pPr>
        <w:numPr>
          <w:ilvl w:val="0"/>
          <w:numId w:val="1"/>
        </w:numPr>
        <w:pBdr>
          <w:top w:val="nil"/>
          <w:left w:val="nil"/>
          <w:bottom w:val="nil"/>
          <w:right w:val="nil"/>
          <w:between w:val="nil"/>
        </w:pBdr>
        <w:jc w:val="both"/>
        <w:rPr>
          <w:rFonts w:ascii="Montserrat" w:hAnsi="Montserrat"/>
        </w:rPr>
      </w:pPr>
      <w:r w:rsidRPr="00726BD5">
        <w:rPr>
          <w:rFonts w:ascii="Montserrat" w:hAnsi="Montserrat"/>
        </w:rPr>
        <w:t>Notas de Memoria.</w:t>
      </w:r>
    </w:p>
    <w:p w14:paraId="4D9D18BC" w14:textId="77777777" w:rsidR="00B0059B" w:rsidRPr="00726BD5" w:rsidRDefault="00B0059B" w:rsidP="00B0059B">
      <w:pPr>
        <w:jc w:val="both"/>
        <w:rPr>
          <w:rFonts w:ascii="Montserrat" w:hAnsi="Montserrat"/>
        </w:rPr>
      </w:pPr>
    </w:p>
    <w:p w14:paraId="1ECAC57B" w14:textId="77777777" w:rsidR="00B0059B" w:rsidRPr="00726BD5" w:rsidRDefault="00B0059B" w:rsidP="00B0059B">
      <w:pPr>
        <w:jc w:val="both"/>
        <w:rPr>
          <w:rFonts w:ascii="Montserrat" w:hAnsi="Montserrat"/>
        </w:rPr>
      </w:pPr>
    </w:p>
    <w:p w14:paraId="6406C9B6" w14:textId="77777777" w:rsidR="00B0059B" w:rsidRPr="00726BD5" w:rsidRDefault="00B0059B" w:rsidP="00B0059B">
      <w:pPr>
        <w:jc w:val="center"/>
        <w:rPr>
          <w:rFonts w:ascii="Montserrat" w:hAnsi="Montserrat"/>
          <w:b/>
        </w:rPr>
      </w:pPr>
      <w:bookmarkStart w:id="2" w:name="_Hlk157387195"/>
      <w:r w:rsidRPr="00726BD5">
        <w:rPr>
          <w:rFonts w:ascii="Montserrat" w:hAnsi="Montserrat"/>
          <w:b/>
        </w:rPr>
        <w:t>NOTAS DE GESTIÓN ADMINISTRATIVA</w:t>
      </w:r>
    </w:p>
    <w:bookmarkEnd w:id="2"/>
    <w:p w14:paraId="737536A3" w14:textId="77777777" w:rsidR="00B0059B" w:rsidRPr="00726BD5" w:rsidRDefault="00B0059B" w:rsidP="00B0059B">
      <w:pPr>
        <w:tabs>
          <w:tab w:val="left" w:pos="7260"/>
        </w:tabs>
        <w:jc w:val="both"/>
        <w:rPr>
          <w:rFonts w:ascii="Montserrat" w:eastAsia="Times New Roman" w:hAnsi="Montserrat" w:cs="Arial"/>
        </w:rPr>
      </w:pPr>
    </w:p>
    <w:p w14:paraId="72BDFE27" w14:textId="77777777" w:rsidR="00B0059B" w:rsidRPr="00726BD5" w:rsidRDefault="00B0059B" w:rsidP="00B0059B">
      <w:pPr>
        <w:widowControl w:val="0"/>
        <w:jc w:val="both"/>
        <w:rPr>
          <w:rFonts w:ascii="Montserrat" w:hAnsi="Montserrat"/>
          <w:b/>
        </w:rPr>
      </w:pPr>
      <w:r w:rsidRPr="00726BD5">
        <w:rPr>
          <w:rFonts w:ascii="Montserrat" w:hAnsi="Montserrat"/>
          <w:b/>
        </w:rPr>
        <w:t>Introducción</w:t>
      </w:r>
    </w:p>
    <w:p w14:paraId="7DCC1094" w14:textId="77777777" w:rsidR="00B0059B" w:rsidRPr="00726BD5" w:rsidRDefault="00B0059B" w:rsidP="00B0059B">
      <w:pPr>
        <w:tabs>
          <w:tab w:val="left" w:pos="7260"/>
        </w:tabs>
        <w:jc w:val="both"/>
        <w:rPr>
          <w:rFonts w:ascii="Montserrat" w:eastAsia="Times New Roman" w:hAnsi="Montserrat" w:cs="Arial"/>
        </w:rPr>
      </w:pPr>
    </w:p>
    <w:p w14:paraId="18A50C0F"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Los estados financieros aquí presentados tienen el objetivo de proveer de información financiera a los principales usuarios de ésta, específicamente a los administradores de la Secretarías que integran el Poder Ejecutivo del Gobierno del Estado, al H. Congreso del Estado de Oaxaca, a las Entidades Fiscalizadoras, a las Instituciones bancarias, a las Calificadoras y a la ciudadanía en general.</w:t>
      </w:r>
    </w:p>
    <w:p w14:paraId="0ECC4C88" w14:textId="77777777" w:rsidR="00B0059B" w:rsidRPr="00726BD5" w:rsidRDefault="00B0059B" w:rsidP="00B0059B">
      <w:pPr>
        <w:tabs>
          <w:tab w:val="left" w:pos="7260"/>
        </w:tabs>
        <w:jc w:val="both"/>
        <w:rPr>
          <w:rFonts w:ascii="Montserrat" w:eastAsia="Times New Roman" w:hAnsi="Montserrat" w:cs="Arial"/>
        </w:rPr>
      </w:pPr>
    </w:p>
    <w:p w14:paraId="4EA0AFE8"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Estos estados financieros son la revelación del contexto y de los aspectos económicos financieros más relevantes que influyeron en las decisiones del periodo, situaciones que fueron consideradas en la gestión de la Administración a cargo y que se ve reflejada en la elaboración de los estados financieros.</w:t>
      </w:r>
    </w:p>
    <w:p w14:paraId="05894175" w14:textId="77777777" w:rsidR="00B0059B" w:rsidRPr="00726BD5" w:rsidRDefault="00B0059B" w:rsidP="00B0059B">
      <w:pPr>
        <w:tabs>
          <w:tab w:val="left" w:pos="7260"/>
        </w:tabs>
        <w:jc w:val="both"/>
        <w:rPr>
          <w:rFonts w:ascii="Montserrat" w:eastAsia="Times New Roman" w:hAnsi="Montserrat" w:cs="Arial"/>
        </w:rPr>
      </w:pPr>
    </w:p>
    <w:p w14:paraId="7DA0E7BD" w14:textId="6942A096"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Los Estados Financieros del Poder Ejecutivo son elaborados por la Secretaría de Finanzas bajo la responsabilidad de la Dirección de Contabilidad</w:t>
      </w:r>
      <w:r w:rsidR="00A259CD" w:rsidRPr="00726BD5">
        <w:rPr>
          <w:rFonts w:ascii="Montserrat" w:eastAsia="Times New Roman" w:hAnsi="Montserrat" w:cs="Arial"/>
        </w:rPr>
        <w:t xml:space="preserve"> Gubernamental</w:t>
      </w:r>
      <w:r w:rsidRPr="00726BD5">
        <w:rPr>
          <w:rFonts w:ascii="Montserrat" w:eastAsia="Times New Roman" w:hAnsi="Montserrat" w:cs="Arial"/>
        </w:rPr>
        <w:t xml:space="preserve">, formulados con sustento a las disposiciones legales, normas contables y presupuestales del Estado, con avances en el apego a los criterios de armonización que dicta la Ley General de </w:t>
      </w:r>
      <w:r w:rsidRPr="00726BD5">
        <w:rPr>
          <w:rFonts w:ascii="Montserrat" w:eastAsia="Times New Roman" w:hAnsi="Montserrat" w:cs="Arial"/>
        </w:rPr>
        <w:lastRenderedPageBreak/>
        <w:t>Contabilidad Gubernamental y las Normas y Metodologías para la Emisión de la Información Financiera considerando la Estructura de los Estados Financieros básicos emitido por el Consejo Nacional de Armonización Contable (CONAC); en ellos se registran las operaciones que realizan las Dependencias que forman la Administración Pública Centralizada, que se integra por el Despacho del Gobernador y las Dependencias contempladas en el artículo 27 de la Ley Orgánica del Poder Ejecutivo del Estado de Oaxaca, siendo esta una fuente de información confiable, que facilita las tareas de evaluación y fiscalización del origen de los ingresos y del destino del gasto, de esta manera, se informa y explica la respuesta del gobierno a las condiciones relacionadas con la información financiera de cada periodo de gestión.</w:t>
      </w:r>
    </w:p>
    <w:p w14:paraId="20E72D61" w14:textId="77777777" w:rsidR="00B0059B" w:rsidRPr="00726BD5" w:rsidRDefault="00B0059B" w:rsidP="00B0059B">
      <w:pPr>
        <w:tabs>
          <w:tab w:val="left" w:pos="7260"/>
        </w:tabs>
        <w:jc w:val="both"/>
        <w:rPr>
          <w:rFonts w:ascii="Montserrat" w:eastAsia="Times New Roman" w:hAnsi="Montserrat" w:cs="Arial"/>
        </w:rPr>
      </w:pPr>
    </w:p>
    <w:p w14:paraId="5FC4B57B" w14:textId="77777777" w:rsidR="00B0059B" w:rsidRPr="00726BD5" w:rsidRDefault="00B0059B" w:rsidP="00B0059B">
      <w:pPr>
        <w:pStyle w:val="Prrafodelista"/>
        <w:widowControl w:val="0"/>
        <w:numPr>
          <w:ilvl w:val="0"/>
          <w:numId w:val="6"/>
        </w:numPr>
        <w:ind w:left="426" w:hanging="426"/>
        <w:jc w:val="both"/>
        <w:rPr>
          <w:rFonts w:ascii="Montserrat" w:hAnsi="Montserrat"/>
          <w:b/>
          <w:sz w:val="24"/>
          <w:szCs w:val="24"/>
        </w:rPr>
      </w:pPr>
      <w:r w:rsidRPr="00726BD5">
        <w:rPr>
          <w:rFonts w:ascii="Montserrat" w:hAnsi="Montserrat"/>
          <w:b/>
          <w:sz w:val="24"/>
          <w:szCs w:val="24"/>
        </w:rPr>
        <w:t>Autorización e Historia.</w:t>
      </w:r>
    </w:p>
    <w:p w14:paraId="18732852" w14:textId="77777777" w:rsidR="00B0059B" w:rsidRPr="00726BD5" w:rsidRDefault="00B0059B" w:rsidP="00B0059B">
      <w:pPr>
        <w:pStyle w:val="Prrafodelista"/>
        <w:widowControl w:val="0"/>
        <w:ind w:left="426"/>
        <w:jc w:val="both"/>
        <w:rPr>
          <w:rFonts w:ascii="Montserrat" w:hAnsi="Montserrat"/>
          <w:b/>
          <w:sz w:val="24"/>
          <w:szCs w:val="24"/>
        </w:rPr>
      </w:pPr>
    </w:p>
    <w:p w14:paraId="14DE9634" w14:textId="77777777" w:rsidR="00B0059B" w:rsidRPr="00726BD5"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Fecha de creación del ente público.</w:t>
      </w:r>
    </w:p>
    <w:p w14:paraId="3A34F626"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Estado de Oaxaca es uno de los 32 estados que conforman el conjunto de entidades federativas de la República Mexicana. Se localiza en la porción sureste de la República, hacia el extremo suroeste del istmo de Tehuantepec, entre los 15°39´ y 18°42´ de latitud norte, y los 93°52´ y 98°32´ de longitud oeste. Limita al norte con Veracruz, al noroeste con Puebla, al este con Chiapas, al oeste con el estado de Guerrero y al sur con el océano Pacífico, con una extensión de casi 600 km de costa. Se encuentra a una altitud que varía del nivel del mar, hasta los 3,750 msnm.</w:t>
      </w:r>
    </w:p>
    <w:p w14:paraId="1CD3DE8F" w14:textId="77777777" w:rsidR="00B0059B" w:rsidRPr="00726BD5" w:rsidRDefault="00B0059B" w:rsidP="00B0059B">
      <w:pPr>
        <w:tabs>
          <w:tab w:val="left" w:pos="7260"/>
        </w:tabs>
        <w:jc w:val="both"/>
        <w:rPr>
          <w:rFonts w:ascii="Montserrat" w:eastAsia="Times New Roman" w:hAnsi="Montserrat" w:cs="Arial"/>
        </w:rPr>
      </w:pPr>
    </w:p>
    <w:p w14:paraId="070DC3C2"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Oaxaca representa el 4.8% de la superficie total nacional, ubicándose en el 5° lugar del país; se compone de 570 municipios, casi tres cuartas partes del total de municipios de todas las entidades federativas de la República Mexicana. Oaxaca es la entidad con mayor diversidad étnica y lingüística de México. En el actual territorio oaxaqueño conviven 18 grupos étnicos de los 65 que hay en México: mixtecos, zapotecos, triquis, mixes, chatinos, chinantecos, huaves, mazatecos, amuzgos, nahuas, zoques, chontales de Oaxaca, cuicatecos, ixcatecos, chocholtecos, tacuates, afromestizos de la costa chica y en menor medida tzotziles; que en conjunto superan el millón de habitantes alrededor del 34.2% del total, distribuidos en 2,563 localidades.</w:t>
      </w:r>
    </w:p>
    <w:p w14:paraId="361B989B" w14:textId="77777777" w:rsidR="00B0059B" w:rsidRPr="00726BD5" w:rsidRDefault="00B0059B" w:rsidP="00B0059B">
      <w:pPr>
        <w:tabs>
          <w:tab w:val="left" w:pos="7260"/>
        </w:tabs>
        <w:jc w:val="both"/>
        <w:rPr>
          <w:rFonts w:ascii="Montserrat" w:eastAsia="Times New Roman" w:hAnsi="Montserrat" w:cs="Arial"/>
        </w:rPr>
      </w:pPr>
    </w:p>
    <w:p w14:paraId="5BBA55D0"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El nombre del Estado proviene de la denominación náhuatl Huãxyacac, impuesta por los conquistadores aztecas en el siglo XV, en el momento de </w:t>
      </w:r>
      <w:r w:rsidRPr="00726BD5">
        <w:rPr>
          <w:rFonts w:ascii="Montserrat" w:eastAsia="Times New Roman" w:hAnsi="Montserrat" w:cs="Arial"/>
        </w:rPr>
        <w:lastRenderedPageBreak/>
        <w:t>su incorporación al imperio tenochca; Huãx significa en español 'huaje', planta común en la región de los valles; yaca significa, literalmente, 'nariz', y el sufijo 'c' es equivalente a tepec, 'lugar', de una forma abreviada. Fonéticamente, el glifo correspondiente se leería como Huaxyacatepec, es decir, "en la punta de los huajes". Una adaptación lingüística de los conquistadores españoles derivó en el actual Oaxaca.</w:t>
      </w:r>
    </w:p>
    <w:p w14:paraId="167AEECC" w14:textId="77777777" w:rsidR="00B0059B" w:rsidRPr="00726BD5" w:rsidRDefault="00B0059B" w:rsidP="00B0059B">
      <w:pPr>
        <w:tabs>
          <w:tab w:val="left" w:pos="7260"/>
        </w:tabs>
        <w:jc w:val="both"/>
        <w:rPr>
          <w:rFonts w:ascii="Montserrat" w:eastAsia="Times New Roman" w:hAnsi="Montserrat" w:cs="Arial"/>
        </w:rPr>
      </w:pPr>
    </w:p>
    <w:p w14:paraId="0527C09C"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La presencia del hombre en Oaxaca se remonta al 7500 a.C. aproximadamente, en lugares como la cueva Guilá Nazquitz, cerca de Mitla. En Yagul se han hallado pinturas rupestres relacionadas a grupos nómadas ligados a los primeros pobladores del valle de Oaxaca.</w:t>
      </w:r>
    </w:p>
    <w:p w14:paraId="6114D27F" w14:textId="77777777" w:rsidR="00B0059B" w:rsidRPr="00726BD5" w:rsidRDefault="00B0059B" w:rsidP="00B0059B">
      <w:pPr>
        <w:tabs>
          <w:tab w:val="left" w:pos="7260"/>
        </w:tabs>
        <w:jc w:val="both"/>
        <w:rPr>
          <w:rFonts w:ascii="Montserrat" w:eastAsia="Times New Roman" w:hAnsi="Montserrat" w:cs="Arial"/>
        </w:rPr>
      </w:pPr>
    </w:p>
    <w:p w14:paraId="76DC4A52"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En el actual territorio oaxaqueño se desarrollaron principalmente dos grandes civilizaciones, la zapoteca y la mixteca, cuyos imperios compitieron siempre por la dominación de Oaxaca. La primera de ellas floreció en el área de Monte Albán a partir del año 900 a.C. hasta su derrota en el año 1,300 a manos de los propios mixtecos, los cuales a su vez permanecerían en el sitio hasta su posterior saqueo y destrucción por parte de los conquistadores españoles.</w:t>
      </w:r>
    </w:p>
    <w:p w14:paraId="7C1C131D" w14:textId="77777777" w:rsidR="00B0059B" w:rsidRPr="00726BD5" w:rsidRDefault="00B0059B" w:rsidP="00B0059B">
      <w:pPr>
        <w:tabs>
          <w:tab w:val="left" w:pos="7260"/>
        </w:tabs>
        <w:jc w:val="both"/>
        <w:rPr>
          <w:rFonts w:ascii="Montserrat" w:eastAsia="Times New Roman" w:hAnsi="Montserrat" w:cs="Arial"/>
        </w:rPr>
      </w:pPr>
    </w:p>
    <w:p w14:paraId="5C162BF4"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Oaxaca fue fundada por los guerreros del emperador azteca Ahuizotl en el año de 1486. En 1532, por cédula real, recibió del rey Carlos V de España el título de "Muy noble y leal ciudad", llamándose "Antequera", nombre que en 1821 fue sustituido por Oaxaca. En 1872 a la muerte del Benemérito de las Américas, Don Benito Juárez, recibió el nombre que actualmente ostenta: Oaxaca de Juárez.</w:t>
      </w:r>
    </w:p>
    <w:p w14:paraId="59A1298C" w14:textId="77777777" w:rsidR="00B0059B" w:rsidRPr="00726BD5" w:rsidRDefault="00B0059B" w:rsidP="00B0059B">
      <w:pPr>
        <w:tabs>
          <w:tab w:val="left" w:pos="7260"/>
        </w:tabs>
        <w:jc w:val="both"/>
        <w:rPr>
          <w:rFonts w:ascii="Montserrat" w:eastAsia="Times New Roman" w:hAnsi="Montserrat" w:cs="Arial"/>
        </w:rPr>
      </w:pPr>
    </w:p>
    <w:p w14:paraId="16C3CE02"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Oaxaca ha sido cuna de otras muchas personas ilustres, como Porfirio Díaz —quien llegó a ser al igual que Juárez, presidente de la República—, los hermanos Flores Magón, José Vasconcelos, Abraham Castellanos, entre otros destacados en el ámbito político. En el campo de las artes sobresalen Miguel Cabrera, Rufino Tamayo, Francisco</w:t>
      </w:r>
      <w:r w:rsidRPr="00726BD5">
        <w:rPr>
          <w:rFonts w:ascii="Montserrat" w:hAnsi="Montserrat"/>
        </w:rPr>
        <w:t xml:space="preserve"> T</w:t>
      </w:r>
      <w:r w:rsidRPr="00726BD5">
        <w:rPr>
          <w:rFonts w:ascii="Montserrat" w:eastAsia="Times New Roman" w:hAnsi="Montserrat" w:cs="Arial"/>
        </w:rPr>
        <w:t>oledo, Rodolfo Morales, Alfredo Canseco Feraud y Macedonio Alcalá, además de mujeres como Teodora Blanco.</w:t>
      </w:r>
    </w:p>
    <w:p w14:paraId="70C2D6A6" w14:textId="77777777" w:rsidR="00B0059B" w:rsidRPr="00726BD5" w:rsidRDefault="00B0059B" w:rsidP="00B0059B">
      <w:pPr>
        <w:tabs>
          <w:tab w:val="left" w:pos="7260"/>
        </w:tabs>
        <w:jc w:val="both"/>
        <w:rPr>
          <w:rFonts w:ascii="Montserrat" w:eastAsia="Times New Roman" w:hAnsi="Montserrat" w:cs="Arial"/>
        </w:rPr>
      </w:pPr>
    </w:p>
    <w:p w14:paraId="7DB199C8"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En 1824 fue redactada la primera Constitución Política de México, que establecía que la República poseía 19 estados y cinco territorios, y Oaxaca era parte integrante de la misma. En Oaxaca la constitución estatal fue publicada el 10 de enero de 1825; estableciéndose en la reforma al artículo uno publicada en el Periódico del Estado Libre y Soberano de Oaxaca de </w:t>
      </w:r>
      <w:r w:rsidRPr="00726BD5">
        <w:rPr>
          <w:rFonts w:ascii="Montserrat" w:eastAsia="Times New Roman" w:hAnsi="Montserrat" w:cs="Arial"/>
        </w:rPr>
        <w:lastRenderedPageBreak/>
        <w:t>fecha 29 de octubre de 1990 que "El Estado de Oaxaca es parte integrante de los Estados Unidos Mexicanos y es libre y soberano en todo lo que concierne a su régimen interior."</w:t>
      </w:r>
    </w:p>
    <w:p w14:paraId="21659B0C" w14:textId="77777777" w:rsidR="00B0059B" w:rsidRPr="00726BD5" w:rsidRDefault="00B0059B" w:rsidP="00B0059B">
      <w:pPr>
        <w:tabs>
          <w:tab w:val="left" w:pos="7260"/>
        </w:tabs>
        <w:jc w:val="both"/>
        <w:rPr>
          <w:rFonts w:ascii="Montserrat" w:eastAsia="Times New Roman" w:hAnsi="Montserrat" w:cs="Arial"/>
        </w:rPr>
      </w:pPr>
    </w:p>
    <w:p w14:paraId="51F9EBE8"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Para efectos de poder dar cumplimiento a sus obligaciones fiscales el Gobierno del Estado de Oaxaca se inscribió al registro federal de contribuyentes como Persona Moral con Fines no Lucrativos en los términos de la Ley del Impuesto Sobre la Renta con fecha el 01 de junio de 1962.</w:t>
      </w:r>
    </w:p>
    <w:p w14:paraId="7BDC073B" w14:textId="77777777" w:rsidR="00B0059B" w:rsidRPr="00726BD5" w:rsidRDefault="00B0059B" w:rsidP="00B0059B">
      <w:pPr>
        <w:tabs>
          <w:tab w:val="left" w:pos="7260"/>
        </w:tabs>
        <w:jc w:val="both"/>
        <w:rPr>
          <w:rFonts w:ascii="Montserrat" w:eastAsia="Times New Roman" w:hAnsi="Montserrat" w:cs="Arial"/>
        </w:rPr>
      </w:pPr>
    </w:p>
    <w:p w14:paraId="430E6E7A" w14:textId="77777777" w:rsidR="00B0059B" w:rsidRPr="00726BD5"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Principales cambios en la estructura del Gobierno del Estado de Oaxaca.</w:t>
      </w:r>
    </w:p>
    <w:p w14:paraId="1BB10488" w14:textId="3928DAF4" w:rsidR="00B0059B" w:rsidRPr="00726BD5" w:rsidRDefault="00B0059B" w:rsidP="00B0059B">
      <w:pPr>
        <w:tabs>
          <w:tab w:val="left" w:pos="7260"/>
        </w:tabs>
        <w:jc w:val="both"/>
        <w:rPr>
          <w:rFonts w:ascii="Montserrat" w:eastAsia="Times New Roman" w:hAnsi="Montserrat" w:cs="Calibri"/>
          <w:bCs/>
          <w:lang w:eastAsia="es-ES"/>
        </w:rPr>
      </w:pPr>
      <w:r w:rsidRPr="00726BD5">
        <w:rPr>
          <w:rFonts w:ascii="Montserrat" w:eastAsia="Times New Roman" w:hAnsi="Montserrat" w:cs="Arial"/>
        </w:rPr>
        <w:t>Al inicio de la presente administración el Poder Ejecutivo del Gobierno del Estado de Oaxaca se conformaba por 2</w:t>
      </w:r>
      <w:r w:rsidR="003F0261" w:rsidRPr="00726BD5">
        <w:rPr>
          <w:rFonts w:ascii="Montserrat" w:eastAsia="Times New Roman" w:hAnsi="Montserrat" w:cs="Arial"/>
        </w:rPr>
        <w:t>2</w:t>
      </w:r>
      <w:r w:rsidRPr="00726BD5">
        <w:rPr>
          <w:rFonts w:ascii="Montserrat" w:eastAsia="Times New Roman" w:hAnsi="Montserrat" w:cs="Arial"/>
        </w:rPr>
        <w:t xml:space="preserve"> Dependencias de la Administración Pública Centralizada</w:t>
      </w:r>
      <w:r w:rsidR="00D75926" w:rsidRPr="00726BD5">
        <w:rPr>
          <w:rFonts w:ascii="Montserrat" w:eastAsia="Times New Roman" w:hAnsi="Montserrat" w:cs="Arial"/>
        </w:rPr>
        <w:t xml:space="preserve"> y </w:t>
      </w:r>
      <w:r w:rsidR="00AF7183" w:rsidRPr="00726BD5">
        <w:rPr>
          <w:rFonts w:ascii="Montserrat" w:eastAsia="Times New Roman" w:hAnsi="Montserrat" w:cs="Arial"/>
        </w:rPr>
        <w:t>70</w:t>
      </w:r>
      <w:r w:rsidR="00D75926" w:rsidRPr="00726BD5">
        <w:rPr>
          <w:rFonts w:ascii="Montserrat" w:eastAsia="Times New Roman" w:hAnsi="Montserrat" w:cs="Arial"/>
        </w:rPr>
        <w:t xml:space="preserve"> entidades de la Administración Pública Paraestatal;</w:t>
      </w:r>
      <w:r w:rsidRPr="00726BD5">
        <w:rPr>
          <w:rFonts w:ascii="Montserrat" w:eastAsia="Times New Roman" w:hAnsi="Montserrat" w:cs="Arial"/>
        </w:rPr>
        <w:t xml:space="preserve"> el Gobernador Constitucional, con el objetivo de establecer la base para lograr los resultados propuestos, al iniciar sus funciones y a lo largo del año 2023, dictó cambios en la estructura gubernamental sumando 3 dependencias nuevas a la Administración Pública Centralizada: la Jefatura de Gabinete, la Secretaría de Educación Pública y la Secretaría del Trabajo, así mismo para dotarles de estructura se reorganizó la gestión y operación de algunas áreas de la </w:t>
      </w:r>
      <w:r w:rsidRPr="00726BD5">
        <w:rPr>
          <w:rFonts w:ascii="Montserrat" w:eastAsia="Times New Roman" w:hAnsi="Montserrat" w:cs="Calibri"/>
          <w:bCs/>
          <w:lang w:eastAsia="es-ES"/>
        </w:rPr>
        <w:t xml:space="preserve">Secretaría de Gobierno, </w:t>
      </w:r>
      <w:r w:rsidRPr="00726BD5">
        <w:rPr>
          <w:rFonts w:ascii="Montserrat" w:eastAsia="Times New Roman" w:hAnsi="Montserrat" w:cs="Arial"/>
        </w:rPr>
        <w:t xml:space="preserve">trasladando 5 áreas a estas tres dependencias de nueva creación, siendo la Junta Local de Conciliación y Arbitraje y la Junta de Arbitraje para los Empleados al Servicio de los Poderes del Estado trasferidos a la </w:t>
      </w:r>
      <w:r w:rsidRPr="00726BD5">
        <w:rPr>
          <w:rFonts w:ascii="Montserrat" w:eastAsia="Times New Roman" w:hAnsi="Montserrat" w:cs="Calibri"/>
          <w:bCs/>
          <w:lang w:eastAsia="es-ES"/>
        </w:rPr>
        <w:t>Consejería Jurídica y Asistencia Legal del Estado de Oaxaca; la Procuraduría para la Defensa del Trabajo y la Coordinación de Normatividad e Inspección del Trabajo</w:t>
      </w:r>
      <w:r w:rsidRPr="00726BD5">
        <w:rPr>
          <w:rFonts w:ascii="Montserrat" w:eastAsia="Times New Roman" w:hAnsi="Montserrat" w:cs="Arial"/>
        </w:rPr>
        <w:t xml:space="preserve"> transferidas a la Secretaría del Trabajo; y la </w:t>
      </w:r>
      <w:r w:rsidRPr="00726BD5">
        <w:rPr>
          <w:rFonts w:ascii="Montserrat" w:eastAsia="Times New Roman" w:hAnsi="Montserrat" w:cs="Calibri"/>
          <w:bCs/>
          <w:lang w:eastAsia="es-ES"/>
        </w:rPr>
        <w:t>Coordinación de Atención Ciudadana y Vinculación Social transferidas a la Jefatura de Gabinete.</w:t>
      </w:r>
    </w:p>
    <w:p w14:paraId="71079072" w14:textId="77777777" w:rsidR="00B0059B" w:rsidRPr="00726BD5" w:rsidRDefault="00B0059B" w:rsidP="00B0059B">
      <w:pPr>
        <w:tabs>
          <w:tab w:val="left" w:pos="7260"/>
        </w:tabs>
        <w:jc w:val="both"/>
        <w:rPr>
          <w:rFonts w:ascii="Montserrat" w:eastAsia="Times New Roman" w:hAnsi="Montserrat" w:cs="Arial"/>
        </w:rPr>
      </w:pPr>
    </w:p>
    <w:p w14:paraId="4A3D6AB6" w14:textId="45D6B66E"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Así mismo, se extinguieron 4 Entidades Paraestatales, de las cuales 3 fueron absorbidas por igual número de Dependencias, siendo: la Coordinación General de Unidades y Caravanas Móviles de Servicios Gratuitos, cuyas actividades y estructura fue transferida a la </w:t>
      </w:r>
      <w:r w:rsidRPr="00726BD5">
        <w:rPr>
          <w:rFonts w:ascii="Montserrat" w:eastAsia="Times New Roman" w:hAnsi="Montserrat" w:cs="Calibri"/>
          <w:bCs/>
          <w:lang w:eastAsia="es-ES"/>
        </w:rPr>
        <w:t>Secretaría de Bienestar, Tequio e Inclusión;</w:t>
      </w:r>
      <w:r w:rsidRPr="00726BD5">
        <w:rPr>
          <w:rFonts w:ascii="Montserrat" w:eastAsia="Times New Roman" w:hAnsi="Montserrat" w:cs="Arial"/>
        </w:rPr>
        <w:t xml:space="preserve"> la Coordinación General de Enlace Federal cuyas actividades y estructura fue absorbida por la Gubernatura; y la Oficina de Convenciones y Visitantes De Oaxaca "OCV Oaxaca" que quedo </w:t>
      </w:r>
      <w:r w:rsidRPr="00726BD5">
        <w:rPr>
          <w:rFonts w:ascii="Montserrat" w:eastAsia="Times New Roman" w:hAnsi="Montserrat" w:cs="Arial"/>
        </w:rPr>
        <w:lastRenderedPageBreak/>
        <w:t>a cargo de la Secretaría de Administración</w:t>
      </w:r>
      <w:r w:rsidR="00D633F9" w:rsidRPr="00726BD5">
        <w:rPr>
          <w:rFonts w:ascii="Montserrat" w:eastAsia="Times New Roman" w:hAnsi="Montserrat" w:cs="Arial"/>
        </w:rPr>
        <w:t>; la cuarta entidad extinta es la Coordinación General de Relaciones Internacionales.</w:t>
      </w:r>
    </w:p>
    <w:p w14:paraId="3133A75A" w14:textId="77777777" w:rsidR="00B0059B" w:rsidRPr="00726BD5" w:rsidRDefault="00B0059B" w:rsidP="00B0059B">
      <w:pPr>
        <w:widowControl w:val="0"/>
        <w:jc w:val="both"/>
        <w:rPr>
          <w:rFonts w:ascii="Montserrat" w:hAnsi="Montserrat"/>
          <w:b/>
        </w:rPr>
      </w:pPr>
    </w:p>
    <w:p w14:paraId="25A7FC5E"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También, el Gobernador Constitucional propuso al Congreso del Estado la modificación de 15 nombres de Dependencias a fin de fortalecer su esencia en la encomienda de cada una.</w:t>
      </w:r>
    </w:p>
    <w:p w14:paraId="38895F5E" w14:textId="77777777" w:rsidR="00B0059B" w:rsidRPr="00726BD5" w:rsidRDefault="00B0059B" w:rsidP="00B0059B">
      <w:pPr>
        <w:tabs>
          <w:tab w:val="left" w:pos="7260"/>
        </w:tabs>
        <w:jc w:val="both"/>
        <w:rPr>
          <w:rFonts w:ascii="Montserrat" w:eastAsia="Times New Roman" w:hAnsi="Montserrat" w:cs="Arial"/>
        </w:rPr>
      </w:pPr>
    </w:p>
    <w:p w14:paraId="091C5BFD" w14:textId="5105799C"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Sumado a los cambios anteriores, durante el</w:t>
      </w:r>
      <w:r w:rsidR="009D6819" w:rsidRPr="00726BD5">
        <w:rPr>
          <w:rFonts w:ascii="Montserrat" w:eastAsia="Times New Roman" w:hAnsi="Montserrat" w:cs="Arial"/>
        </w:rPr>
        <w:t xml:space="preserve"> </w:t>
      </w:r>
      <w:r w:rsidRPr="00726BD5">
        <w:rPr>
          <w:rFonts w:ascii="Montserrat" w:eastAsia="Times New Roman" w:hAnsi="Montserrat" w:cs="Arial"/>
        </w:rPr>
        <w:t>2024, el Gobernador tuvo a bien dictar cambios el algunas dependencias y entidades, de acuerdo a lo siguiente:</w:t>
      </w:r>
    </w:p>
    <w:p w14:paraId="2001AD4A" w14:textId="77777777" w:rsidR="00B0059B" w:rsidRPr="00726BD5" w:rsidRDefault="00B0059B" w:rsidP="00B0059B">
      <w:pPr>
        <w:tabs>
          <w:tab w:val="left" w:pos="7260"/>
        </w:tabs>
        <w:jc w:val="both"/>
        <w:rPr>
          <w:rFonts w:ascii="Montserrat" w:eastAsia="Times New Roman" w:hAnsi="Montserrat" w:cs="Arial"/>
        </w:rPr>
      </w:pPr>
    </w:p>
    <w:p w14:paraId="17967CC2" w14:textId="69B23526" w:rsidR="004A7AAF"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De la Administración Pública Centralizada se extinguieron </w:t>
      </w:r>
      <w:r w:rsidR="004A7AAF" w:rsidRPr="00726BD5">
        <w:rPr>
          <w:rFonts w:ascii="Montserrat" w:eastAsia="Times New Roman" w:hAnsi="Montserrat" w:cs="Arial"/>
        </w:rPr>
        <w:t>2 dependencias, la</w:t>
      </w:r>
      <w:r w:rsidRPr="00726BD5">
        <w:rPr>
          <w:rFonts w:ascii="Montserrat" w:eastAsia="Times New Roman" w:hAnsi="Montserrat" w:cs="Arial"/>
        </w:rPr>
        <w:t xml:space="preserve"> Jefatura de Gabinete y la Coordinación General de Educación Media Superior y Superior, Ciencia y Tecnología, cuyas funciones de esta última fueron absorbidas por la Secretaria de Educación Pública</w:t>
      </w:r>
      <w:r w:rsidR="004A7AAF" w:rsidRPr="00726BD5">
        <w:rPr>
          <w:rFonts w:ascii="Montserrat" w:eastAsia="Times New Roman" w:hAnsi="Montserrat" w:cs="Arial"/>
        </w:rPr>
        <w:t xml:space="preserve">. </w:t>
      </w:r>
    </w:p>
    <w:p w14:paraId="50C4FE80" w14:textId="77777777" w:rsidR="004A7AAF" w:rsidRPr="00726BD5" w:rsidRDefault="004A7AAF" w:rsidP="00B0059B">
      <w:pPr>
        <w:tabs>
          <w:tab w:val="left" w:pos="7260"/>
        </w:tabs>
        <w:jc w:val="both"/>
        <w:rPr>
          <w:rFonts w:ascii="Montserrat" w:eastAsia="Times New Roman" w:hAnsi="Montserrat" w:cs="Arial"/>
        </w:rPr>
      </w:pPr>
    </w:p>
    <w:p w14:paraId="66D3DCCC" w14:textId="242589F8" w:rsidR="0011110F" w:rsidRPr="00726BD5" w:rsidRDefault="004A7AAF" w:rsidP="00B0059B">
      <w:pPr>
        <w:tabs>
          <w:tab w:val="left" w:pos="7260"/>
        </w:tabs>
        <w:jc w:val="both"/>
        <w:rPr>
          <w:rFonts w:ascii="Montserrat" w:eastAsia="Times New Roman" w:hAnsi="Montserrat" w:cs="Arial"/>
        </w:rPr>
      </w:pPr>
      <w:r w:rsidRPr="00726BD5">
        <w:rPr>
          <w:rFonts w:ascii="Montserrat" w:eastAsia="Times New Roman" w:hAnsi="Montserrat" w:cs="Arial"/>
        </w:rPr>
        <w:t>De la Administración Pública Paraestatal se extinguieron 8 Entidades:</w:t>
      </w:r>
      <w:r w:rsidR="00E226CA" w:rsidRPr="00726BD5">
        <w:rPr>
          <w:rFonts w:ascii="Montserrat" w:eastAsia="Times New Roman" w:hAnsi="Montserrat" w:cs="Arial"/>
        </w:rPr>
        <w:t xml:space="preserve"> en donde la </w:t>
      </w:r>
      <w:r w:rsidR="0011110F" w:rsidRPr="00726BD5">
        <w:rPr>
          <w:rFonts w:ascii="Montserrat" w:eastAsia="Times New Roman" w:hAnsi="Montserrat" w:cs="Arial"/>
        </w:rPr>
        <w:t>Comisión Estatal para la Planeación de la Educación Superior</w:t>
      </w:r>
      <w:r w:rsidR="00E226CA" w:rsidRPr="00726BD5">
        <w:rPr>
          <w:rFonts w:ascii="Montserrat" w:eastAsia="Times New Roman" w:hAnsi="Montserrat" w:cs="Arial"/>
        </w:rPr>
        <w:t xml:space="preserve"> y la </w:t>
      </w:r>
      <w:r w:rsidR="0011110F" w:rsidRPr="00726BD5">
        <w:rPr>
          <w:rFonts w:ascii="Montserrat" w:eastAsia="Times New Roman" w:hAnsi="Montserrat" w:cs="Arial"/>
        </w:rPr>
        <w:t xml:space="preserve"> </w:t>
      </w:r>
    </w:p>
    <w:p w14:paraId="07375053" w14:textId="6299F020" w:rsidR="0011110F" w:rsidRPr="00726BD5" w:rsidRDefault="0011110F" w:rsidP="00B0059B">
      <w:pPr>
        <w:tabs>
          <w:tab w:val="left" w:pos="7260"/>
        </w:tabs>
        <w:jc w:val="both"/>
        <w:rPr>
          <w:rFonts w:ascii="Montserrat" w:eastAsia="Times New Roman" w:hAnsi="Montserrat" w:cs="Arial"/>
        </w:rPr>
      </w:pPr>
      <w:r w:rsidRPr="00726BD5">
        <w:rPr>
          <w:rFonts w:ascii="Montserrat" w:eastAsia="Times New Roman" w:hAnsi="Montserrat" w:cs="Arial"/>
        </w:rPr>
        <w:t>Comisión Estatal para la Planeación de la Educación Media Superior</w:t>
      </w:r>
      <w:r w:rsidR="00E226CA" w:rsidRPr="00726BD5">
        <w:rPr>
          <w:rFonts w:ascii="Montserrat" w:eastAsia="Times New Roman" w:hAnsi="Montserrat" w:cs="Arial"/>
        </w:rPr>
        <w:t xml:space="preserve">, también fueron absorbidas por la Secretaria de Educación Pública; las entidades </w:t>
      </w:r>
      <w:r w:rsidRPr="00726BD5">
        <w:rPr>
          <w:rFonts w:ascii="Montserrat" w:eastAsia="Times New Roman" w:hAnsi="Montserrat" w:cs="Arial"/>
        </w:rPr>
        <w:t>Dirección General de Población de Oaxaca</w:t>
      </w:r>
      <w:r w:rsidR="00E226CA" w:rsidRPr="00726BD5">
        <w:rPr>
          <w:rFonts w:ascii="Montserrat" w:eastAsia="Times New Roman" w:hAnsi="Montserrat" w:cs="Arial"/>
        </w:rPr>
        <w:t xml:space="preserve"> </w:t>
      </w:r>
      <w:r w:rsidR="00C431C1" w:rsidRPr="00726BD5">
        <w:rPr>
          <w:rFonts w:ascii="Montserrat" w:eastAsia="Times New Roman" w:hAnsi="Montserrat" w:cs="Arial"/>
        </w:rPr>
        <w:t xml:space="preserve">e </w:t>
      </w:r>
      <w:r w:rsidRPr="00726BD5">
        <w:rPr>
          <w:rFonts w:ascii="Montserrat" w:eastAsia="Times New Roman" w:hAnsi="Montserrat" w:cs="Arial"/>
        </w:rPr>
        <w:t>Instituto de Atención al Migrante Oaxaqueño</w:t>
      </w:r>
      <w:r w:rsidR="00C431C1" w:rsidRPr="00726BD5">
        <w:rPr>
          <w:rFonts w:ascii="Montserrat" w:eastAsia="Times New Roman" w:hAnsi="Montserrat" w:cs="Arial"/>
        </w:rPr>
        <w:t xml:space="preserve"> fueron trasladadas a la Secretaría de Gobierno; el </w:t>
      </w:r>
      <w:r w:rsidRPr="00726BD5">
        <w:rPr>
          <w:rFonts w:ascii="Montserrat" w:eastAsia="Times New Roman" w:hAnsi="Montserrat" w:cs="Arial"/>
        </w:rPr>
        <w:t>Instituto para el Fomento y la Protección de las Artesanías</w:t>
      </w:r>
      <w:r w:rsidR="00C431C1" w:rsidRPr="00726BD5">
        <w:rPr>
          <w:rFonts w:ascii="Montserrat" w:eastAsia="Times New Roman" w:hAnsi="Montserrat" w:cs="Arial"/>
        </w:rPr>
        <w:t xml:space="preserve"> y el </w:t>
      </w:r>
      <w:r w:rsidRPr="00726BD5">
        <w:rPr>
          <w:rFonts w:ascii="Montserrat" w:eastAsia="Times New Roman" w:hAnsi="Montserrat" w:cs="Arial"/>
        </w:rPr>
        <w:t>Instituto Oaxaqueño del Emprendedor y de la Competitividad</w:t>
      </w:r>
      <w:r w:rsidR="00C431C1" w:rsidRPr="00726BD5">
        <w:rPr>
          <w:rFonts w:ascii="Montserrat" w:eastAsia="Times New Roman" w:hAnsi="Montserrat" w:cs="Arial"/>
        </w:rPr>
        <w:t xml:space="preserve"> fueron reubicadas en la Secretaría de Desarrollo Económico; la </w:t>
      </w:r>
      <w:r w:rsidRPr="00726BD5">
        <w:rPr>
          <w:rFonts w:ascii="Montserrat" w:eastAsia="Times New Roman" w:hAnsi="Montserrat" w:cs="Arial"/>
        </w:rPr>
        <w:t>Coordinación Estatal del Corredor Interoceánico del Istmo</w:t>
      </w:r>
      <w:r w:rsidR="00C431C1" w:rsidRPr="00726BD5">
        <w:rPr>
          <w:rFonts w:ascii="Montserrat" w:eastAsia="Times New Roman" w:hAnsi="Montserrat" w:cs="Arial"/>
        </w:rPr>
        <w:t xml:space="preserve"> fue trasladada a la Gubernatura y por último</w:t>
      </w:r>
      <w:r w:rsidR="003D0075" w:rsidRPr="00726BD5">
        <w:rPr>
          <w:rFonts w:ascii="Montserrat" w:eastAsia="Times New Roman" w:hAnsi="Montserrat" w:cs="Arial"/>
        </w:rPr>
        <w:t>,</w:t>
      </w:r>
      <w:r w:rsidR="00C431C1" w:rsidRPr="00726BD5">
        <w:rPr>
          <w:rFonts w:ascii="Montserrat" w:eastAsia="Times New Roman" w:hAnsi="Montserrat" w:cs="Arial"/>
        </w:rPr>
        <w:t xml:space="preserve"> la </w:t>
      </w:r>
      <w:r w:rsidRPr="00726BD5">
        <w:rPr>
          <w:rFonts w:ascii="Montserrat" w:eastAsia="Times New Roman" w:hAnsi="Montserrat" w:cs="Arial"/>
        </w:rPr>
        <w:t>Secretaría Ejecutiva del Sistema Estatal de Combate a la Corrupción</w:t>
      </w:r>
      <w:r w:rsidR="003D0075" w:rsidRPr="00726BD5">
        <w:rPr>
          <w:rFonts w:ascii="Montserrat" w:eastAsia="Times New Roman" w:hAnsi="Montserrat" w:cs="Arial"/>
        </w:rPr>
        <w:t xml:space="preserve"> entidad que se extingue con la publicación de la abrogación de la Ley del Sistema de Combate a la Corrupción.</w:t>
      </w:r>
    </w:p>
    <w:p w14:paraId="13983504" w14:textId="77777777" w:rsidR="003D0075" w:rsidRPr="00726BD5" w:rsidRDefault="003D0075" w:rsidP="00B0059B">
      <w:pPr>
        <w:tabs>
          <w:tab w:val="left" w:pos="7260"/>
        </w:tabs>
        <w:jc w:val="both"/>
        <w:rPr>
          <w:rFonts w:ascii="Montserrat" w:eastAsia="Times New Roman" w:hAnsi="Montserrat" w:cs="Arial"/>
        </w:rPr>
      </w:pPr>
    </w:p>
    <w:p w14:paraId="653E5B7D" w14:textId="5F8E6363" w:rsidR="002B7275" w:rsidRPr="00726BD5" w:rsidRDefault="002B7275"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En cuanto a nuevas dependencias y entidades, durante el año 2024 se crearon 5 Entidades de la Administración Pública Paraestatal: Universidad Autónoma Comunal de Oaxaca, misma que pasó de Órgano Autónomo a finales del 2023 a Entidad Paraestatal a principio de 2024; Unidad de Inteligencia Patrimonial y Económica del Estado de Oaxaca, Universidad Politécnica y Tecnológica del Istmo de Tehuantepec, </w:t>
      </w:r>
      <w:proofErr w:type="spellStart"/>
      <w:r w:rsidRPr="00726BD5">
        <w:rPr>
          <w:rFonts w:ascii="Montserrat" w:eastAsia="Times New Roman" w:hAnsi="Montserrat" w:cs="Arial"/>
        </w:rPr>
        <w:t>Afrouniversidad</w:t>
      </w:r>
      <w:proofErr w:type="spellEnd"/>
      <w:r w:rsidRPr="00726BD5">
        <w:rPr>
          <w:rFonts w:ascii="Montserrat" w:eastAsia="Times New Roman" w:hAnsi="Montserrat" w:cs="Arial"/>
        </w:rPr>
        <w:t xml:space="preserve"> Politécnica Intercultural y la Coordinación para la Comercialización de Productos Oaxaqueños.</w:t>
      </w:r>
    </w:p>
    <w:p w14:paraId="3B369262" w14:textId="42342363" w:rsidR="002B7275" w:rsidRPr="00726BD5" w:rsidRDefault="002B7275"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 </w:t>
      </w:r>
    </w:p>
    <w:p w14:paraId="17909BE1" w14:textId="44CC9839" w:rsidR="00F129E5" w:rsidRPr="00726BD5" w:rsidRDefault="00B0059B" w:rsidP="00F129E5">
      <w:pPr>
        <w:tabs>
          <w:tab w:val="left" w:pos="7260"/>
        </w:tabs>
        <w:jc w:val="both"/>
        <w:rPr>
          <w:rFonts w:ascii="Montserrat" w:eastAsia="Times New Roman" w:hAnsi="Montserrat" w:cs="Arial"/>
        </w:rPr>
      </w:pPr>
      <w:r w:rsidRPr="00726BD5">
        <w:rPr>
          <w:rFonts w:ascii="Montserrat" w:eastAsia="Times New Roman" w:hAnsi="Montserrat" w:cs="Arial"/>
        </w:rPr>
        <w:lastRenderedPageBreak/>
        <w:t xml:space="preserve">En total, </w:t>
      </w:r>
      <w:r w:rsidR="002B7275" w:rsidRPr="00726BD5">
        <w:rPr>
          <w:rFonts w:ascii="Montserrat" w:eastAsia="Times New Roman" w:hAnsi="Montserrat" w:cs="Arial"/>
        </w:rPr>
        <w:t>durante</w:t>
      </w:r>
      <w:r w:rsidRPr="00726BD5">
        <w:rPr>
          <w:rFonts w:ascii="Montserrat" w:eastAsia="Times New Roman" w:hAnsi="Montserrat" w:cs="Arial"/>
        </w:rPr>
        <w:t xml:space="preserve"> el año 2024 se extinguieron 2 dependencias, </w:t>
      </w:r>
      <w:r w:rsidR="00D97EEB" w:rsidRPr="00726BD5">
        <w:rPr>
          <w:rFonts w:ascii="Montserrat" w:eastAsia="Times New Roman" w:hAnsi="Montserrat" w:cs="Arial"/>
        </w:rPr>
        <w:t>8</w:t>
      </w:r>
      <w:r w:rsidRPr="00726BD5">
        <w:rPr>
          <w:rFonts w:ascii="Montserrat" w:eastAsia="Times New Roman" w:hAnsi="Montserrat" w:cs="Arial"/>
        </w:rPr>
        <w:t xml:space="preserve"> entidades y un órgano autónomo y se cre</w:t>
      </w:r>
      <w:r w:rsidR="00541428" w:rsidRPr="00726BD5">
        <w:rPr>
          <w:rFonts w:ascii="Montserrat" w:eastAsia="Times New Roman" w:hAnsi="Montserrat" w:cs="Arial"/>
        </w:rPr>
        <w:t>aron 5</w:t>
      </w:r>
      <w:r w:rsidRPr="00726BD5">
        <w:rPr>
          <w:rFonts w:ascii="Montserrat" w:eastAsia="Times New Roman" w:hAnsi="Montserrat" w:cs="Arial"/>
        </w:rPr>
        <w:t xml:space="preserve"> entidad paraestatal</w:t>
      </w:r>
      <w:r w:rsidR="00A259CD" w:rsidRPr="00726BD5">
        <w:rPr>
          <w:rFonts w:ascii="Montserrat" w:eastAsia="Times New Roman" w:hAnsi="Montserrat" w:cs="Arial"/>
        </w:rPr>
        <w:t>.</w:t>
      </w:r>
    </w:p>
    <w:p w14:paraId="18219275" w14:textId="77777777" w:rsidR="00AF01BE" w:rsidRPr="00726BD5" w:rsidRDefault="00AF01BE" w:rsidP="00F129E5">
      <w:pPr>
        <w:tabs>
          <w:tab w:val="left" w:pos="7260"/>
        </w:tabs>
        <w:jc w:val="both"/>
        <w:rPr>
          <w:rFonts w:ascii="Montserrat" w:eastAsia="Times New Roman" w:hAnsi="Montserrat" w:cs="Arial"/>
        </w:rPr>
      </w:pPr>
    </w:p>
    <w:p w14:paraId="2FC77591" w14:textId="229A00FE" w:rsidR="00AF01BE" w:rsidRPr="00726BD5" w:rsidRDefault="00AF01BE" w:rsidP="00F129E5">
      <w:pPr>
        <w:tabs>
          <w:tab w:val="left" w:pos="7260"/>
        </w:tabs>
        <w:jc w:val="both"/>
        <w:rPr>
          <w:rFonts w:ascii="Montserrat" w:eastAsia="Times New Roman" w:hAnsi="Montserrat" w:cs="Arial"/>
        </w:rPr>
      </w:pPr>
      <w:r w:rsidRPr="00726BD5">
        <w:rPr>
          <w:rFonts w:ascii="Montserrat" w:eastAsia="Times New Roman" w:hAnsi="Montserrat" w:cs="Arial"/>
        </w:rPr>
        <w:t>En este sentido, durante el año 2025 el Gobernador Constitucional del Estado de Oaxaca ha emitido decretos para la creación de 3 entidades del Sector Paraestatal: la Universidad Intercultural del Pueblo, el Instituto de Lenguas Originarias de Oaxaca y el Instituto Estatal de Creación Literaria y Promoción de la Lectura</w:t>
      </w:r>
    </w:p>
    <w:p w14:paraId="4E16B56E" w14:textId="77777777" w:rsidR="00AF01BE" w:rsidRPr="00726BD5" w:rsidRDefault="00AF01BE" w:rsidP="00F129E5">
      <w:pPr>
        <w:tabs>
          <w:tab w:val="left" w:pos="7260"/>
        </w:tabs>
        <w:jc w:val="both"/>
        <w:rPr>
          <w:rFonts w:ascii="Montserrat" w:eastAsia="Times New Roman" w:hAnsi="Montserrat" w:cs="Arial"/>
        </w:rPr>
      </w:pPr>
    </w:p>
    <w:p w14:paraId="57589689" w14:textId="7F3B0DE2" w:rsidR="00B0059B" w:rsidRPr="00726BD5" w:rsidRDefault="00B0059B" w:rsidP="00F129E5">
      <w:pPr>
        <w:pStyle w:val="Prrafodelista"/>
        <w:widowControl w:val="0"/>
        <w:numPr>
          <w:ilvl w:val="0"/>
          <w:numId w:val="6"/>
        </w:numPr>
        <w:ind w:left="426" w:hanging="426"/>
        <w:jc w:val="both"/>
        <w:rPr>
          <w:rFonts w:ascii="Montserrat" w:hAnsi="Montserrat"/>
          <w:b/>
          <w:sz w:val="24"/>
          <w:szCs w:val="24"/>
        </w:rPr>
      </w:pPr>
      <w:r w:rsidRPr="00726BD5">
        <w:rPr>
          <w:rFonts w:ascii="Montserrat" w:hAnsi="Montserrat"/>
          <w:b/>
          <w:sz w:val="24"/>
          <w:szCs w:val="24"/>
        </w:rPr>
        <w:t>Panorama Económico</w:t>
      </w:r>
    </w:p>
    <w:p w14:paraId="0FC74D01" w14:textId="77777777" w:rsidR="00AF01BE" w:rsidRPr="00726BD5" w:rsidRDefault="00AF01BE" w:rsidP="00AF01BE">
      <w:pPr>
        <w:spacing w:before="240" w:after="240"/>
        <w:jc w:val="both"/>
        <w:rPr>
          <w:rFonts w:ascii="Montserrat" w:eastAsia="Times New Roman" w:hAnsi="Montserrat" w:cs="Arial"/>
          <w:b/>
          <w:bCs/>
        </w:rPr>
      </w:pPr>
      <w:bookmarkStart w:id="3" w:name="_Hlk187928336"/>
      <w:r w:rsidRPr="00726BD5">
        <w:rPr>
          <w:rFonts w:ascii="Montserrat" w:eastAsia="Times New Roman" w:hAnsi="Montserrat" w:cs="Arial"/>
          <w:b/>
          <w:bCs/>
        </w:rPr>
        <w:t>PANORAMA ECONÓMICO (Primer Trimestres 2025).</w:t>
      </w:r>
    </w:p>
    <w:p w14:paraId="5CF2765B"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constante de la economía mundial, es la incertidumbre. El crecimiento económico se ve reducido en los niveles cercano al 2.0 %.</w:t>
      </w:r>
    </w:p>
    <w:p w14:paraId="5CB36D07"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Las tensiones comerciales, la debilidad de la inversión, los elevados niveles de deuda y los conflictos geopolíticos pesan considerablemente sobre las perspectivas. Se prevé que el crecimiento mundial se mantenga por debajo de los niveles anteriores a la pandemia.</w:t>
      </w:r>
    </w:p>
    <w:p w14:paraId="6A6A9BED"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incertidumbre es latente debido a los conflictos internaciones caso Ucrania y Rusia, Israel y la región de Gaza y por el caso más reciente que puedo quedar en una pausa el enfrentamiento entre Israel e Irán. A estos problemas geopolíticos, se suma la incertidumbre comercial como política de presión por parte de Donald Trump presidente de los Estados Unidos de América que en su oportunidad y mensajes mueve el mercado financiero.</w:t>
      </w:r>
    </w:p>
    <w:p w14:paraId="16ECD301"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La opinión al respecto, es de importancia tomarse en cuenta del Banco Mundial (BM) en su título de comunicado de prensa del junio 10, 2025, con el comunicado siguiente:” La economía mundial se encamina a la peor racha desde 2008 sin considerar las recesiones.” </w:t>
      </w:r>
    </w:p>
    <w:p w14:paraId="1667832A"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“Prevé que el aumento de las tensiones comerciales y la incertidumbre normativa llevarán a que el crecimiento mundial registre este año su ritmo más lento desde 2008, sin considerar las recesiones mundiales absolutas, según la última edición del informe Perspectivas económicas mundiales que publica el Banco Mundial. Las turbulencias han provocado que se reduzcan los pronósticos de crecimiento para casi el 70</w:t>
      </w:r>
      <w:r w:rsidRPr="00726BD5">
        <w:rPr>
          <w:rFonts w:ascii="Times New Roman" w:eastAsia="Times New Roman" w:hAnsi="Times New Roman" w:cs="Times New Roman"/>
        </w:rPr>
        <w:t> </w:t>
      </w:r>
      <w:r w:rsidRPr="00726BD5">
        <w:rPr>
          <w:rFonts w:ascii="Montserrat" w:eastAsia="Times New Roman" w:hAnsi="Montserrat" w:cs="Arial"/>
        </w:rPr>
        <w:t>% de todas las economías, en todas las regiones y todos los grupos de ingresos.</w:t>
      </w:r>
    </w:p>
    <w:p w14:paraId="1C1FA5C5"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lastRenderedPageBreak/>
        <w:t>Se proyecta que el crecimiento mundial se desacelerará al 2,3</w:t>
      </w:r>
      <w:r w:rsidRPr="00726BD5">
        <w:rPr>
          <w:rFonts w:ascii="Times New Roman" w:eastAsia="Times New Roman" w:hAnsi="Times New Roman" w:cs="Times New Roman"/>
        </w:rPr>
        <w:t> </w:t>
      </w:r>
      <w:r w:rsidRPr="00726BD5">
        <w:rPr>
          <w:rFonts w:ascii="Montserrat" w:eastAsia="Times New Roman" w:hAnsi="Montserrat" w:cs="Arial"/>
        </w:rPr>
        <w:t>% en 2025, casi medio punto porcentual por debajo de la tasa prevista a principios de año. No se prevé una recesión mundial. Sin embargo, si se materializan las previsiones para los próximos dos años, el crecimiento mundial promedio en los primeros siete años de la década de 2020</w:t>
      </w:r>
      <w:r w:rsidRPr="00726BD5">
        <w:rPr>
          <w:rFonts w:ascii="Times New Roman" w:eastAsia="Times New Roman" w:hAnsi="Times New Roman" w:cs="Times New Roman"/>
        </w:rPr>
        <w:t> </w:t>
      </w:r>
      <w:r w:rsidRPr="00726BD5">
        <w:rPr>
          <w:rFonts w:ascii="Montserrat" w:eastAsia="Times New Roman" w:hAnsi="Montserrat" w:cs="Arial"/>
        </w:rPr>
        <w:t>será el más lento de todos los decenios desde los años sesenta”.</w:t>
      </w:r>
    </w:p>
    <w:p w14:paraId="0527434C" w14:textId="77777777" w:rsidR="005728A0" w:rsidRPr="00726BD5" w:rsidRDefault="005728A0" w:rsidP="005728A0">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rPr>
        <w:drawing>
          <wp:inline distT="0" distB="0" distL="0" distR="0" wp14:anchorId="3C741DDF" wp14:editId="22CC280C">
            <wp:extent cx="4647783" cy="3686175"/>
            <wp:effectExtent l="0" t="0" r="635" b="0"/>
            <wp:docPr id="16020002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00229" name=""/>
                    <pic:cNvPicPr/>
                  </pic:nvPicPr>
                  <pic:blipFill rotWithShape="1">
                    <a:blip r:embed="rId8"/>
                    <a:srcRect l="15419" t="29122" r="36270" b="9577"/>
                    <a:stretch>
                      <a:fillRect/>
                    </a:stretch>
                  </pic:blipFill>
                  <pic:spPr bwMode="auto">
                    <a:xfrm>
                      <a:off x="0" y="0"/>
                      <a:ext cx="4679654" cy="3711452"/>
                    </a:xfrm>
                    <a:prstGeom prst="rect">
                      <a:avLst/>
                    </a:prstGeom>
                    <a:ln>
                      <a:noFill/>
                    </a:ln>
                    <a:extLst>
                      <a:ext uri="{53640926-AAD7-44D8-BBD7-CCE9431645EC}">
                        <a14:shadowObscured xmlns:a14="http://schemas.microsoft.com/office/drawing/2010/main"/>
                      </a:ext>
                    </a:extLst>
                  </pic:spPr>
                </pic:pic>
              </a:graphicData>
            </a:graphic>
          </wp:inline>
        </w:drawing>
      </w:r>
    </w:p>
    <w:p w14:paraId="0B8513AB"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Organización para la Cooperación y el Desarrollo Económico (OCDE) revisó a la baja sus previsiones de crecimiento mundial para 2025, en un contexto de incertidumbre geopolítica y tensiones comerciales.</w:t>
      </w:r>
    </w:p>
    <w:p w14:paraId="0B503A27"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“Estamos navegando en aguas turbulentas”, declaró a la prensa Álvaro Santos Pereira, economista jefe del organismo internacional con sede en París, resumiendo la situación de la economía mundial.</w:t>
      </w:r>
    </w:p>
    <w:p w14:paraId="1FD39208"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organización prevé que el Producto Interior Bruto (PIB) mundial crezca un 3,1% en 2025, frente al 3,3% de su proyección previa en diciembre.</w:t>
      </w:r>
    </w:p>
    <w:p w14:paraId="129608A9"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lastRenderedPageBreak/>
        <w:t>Estados Unidos, cuyo presidente, Donald Trump, amenaza con una guerra comercial con sus principales socios comerciales, debería aumentar su PIB un 2,2% este año, antes de un 1,6% el año que viene, según la OCDE.</w:t>
      </w:r>
    </w:p>
    <w:p w14:paraId="20D70760"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De acuerdo con el Fondo Monetario internacional (FMI), las repercusiones y desafíos económicos de 2025 se podrían trasladar hacia el periodo de 2026, lo que mermaría la resiliencia de la economía global. Ante este complejo contexto comercial, el FMI realizó una drástica revisión la baja de las expectativas económicas de 2025 y 2026. Algunas de las economías con mayores riesgos y por ende un mayor ajuste en sus pronósticos fueron: 1) EUA, la expectativa de crecimiento del PIB de 2025 disminuyó a 1.8% desde 2.7% previo; 2) para China, el pronóstico del PIB pasó a 4.0% frente al 4.6% anterior; y, 3) para México, la previsión del crecimiento económico mostró un mayor deterioro; ahora se prevé una contracción del 0.3% anual (vs +1.4% estimado en el reporte de enero).</w:t>
      </w:r>
    </w:p>
    <w:p w14:paraId="7442A864"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ESTADOS UNIDOS.</w:t>
      </w:r>
    </w:p>
    <w:p w14:paraId="3C42FF36"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Banco Mundial (BM) predijo que la economía de Estados Unidos, la más grande del mundo, crecería a la mitad de velocidad (1.4%) este año en comparación con 2024 (2.8%).</w:t>
      </w:r>
    </w:p>
    <w:p w14:paraId="71459042"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El Fondo Monetario Internacional (FMI) en resumen puntualiza tres aspectos que tienen una injerencia en la estimación del crecimiento económico de los Estados Unidos: </w:t>
      </w:r>
    </w:p>
    <w:p w14:paraId="14BC256C"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Redujo su proyección de crecimiento económico para Estados Unidos debido a «tensiones comerciales».</w:t>
      </w:r>
    </w:p>
    <w:p w14:paraId="10F45403"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organismo intergubernamental bajó de 2,7% a 1,8% el aumento del PIB de EE.UU. para 2025.</w:t>
      </w:r>
    </w:p>
    <w:p w14:paraId="0847BE47"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También aseguró que la inflación será más alta el resto del año, principalmente por los aranceles recíprocos que estableció la administración de Donald Trump.</w:t>
      </w:r>
    </w:p>
    <w:p w14:paraId="435B4C56"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La política arancelaria con los países que la unión americana comercia por estrategia del presidente Donald Trump, ha tenido un gran impacto en su propia economía y los pronósticos de crecimiento de la economía para finales de 2025 repercutirá negativamente. (1.4% este año en comparación con 2024 de 2.8%). Lo anterior marcó una revisión a la baja respecto al </w:t>
      </w:r>
      <w:r w:rsidRPr="00726BD5">
        <w:rPr>
          <w:rFonts w:ascii="Montserrat" w:eastAsia="Times New Roman" w:hAnsi="Montserrat" w:cs="Arial"/>
        </w:rPr>
        <w:lastRenderedPageBreak/>
        <w:t>crecimiento del 2.3% que el Banco Mundial había pronosticado en 2025 en enero.</w:t>
      </w:r>
    </w:p>
    <w:p w14:paraId="208C4EF8"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Se observa como ejemplo, la devaluación del dólar americano como lo indica el ÍNDICE </w:t>
      </w:r>
      <w:proofErr w:type="spellStart"/>
      <w:r w:rsidRPr="00726BD5">
        <w:rPr>
          <w:rFonts w:ascii="Montserrat" w:eastAsia="Times New Roman" w:hAnsi="Montserrat" w:cs="Arial"/>
        </w:rPr>
        <w:t>USDXY</w:t>
      </w:r>
      <w:proofErr w:type="spellEnd"/>
      <w:r w:rsidRPr="00726BD5">
        <w:rPr>
          <w:rFonts w:ascii="Montserrat" w:eastAsia="Times New Roman" w:hAnsi="Montserrat" w:cs="Arial"/>
        </w:rPr>
        <w:t xml:space="preserve"> (canasta de divisas: euro, yen, libra esterlina, dólar canadiense, corona sueca y franco suizo) en el mes de enero de 2025 se encontraba en 108.37 y en junio del mismo año en 97.14, donde el peso se ha visto favorecido.</w:t>
      </w:r>
    </w:p>
    <w:p w14:paraId="41BE3DC3" w14:textId="789B8024"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Para el Fondo, la inflación en EE.UU. cerrará el año en 2.5%. Esto es un 0.4% más de la proyección realizada en enero.</w:t>
      </w:r>
    </w:p>
    <w:p w14:paraId="3A542820"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economía de EE. UU. se contrajo a una tasa anualizada del 0.5% en el primer trimestre de 2025, una caída más pronunciada que la segunda estimación de una disminución del 0.2% y la primera contracción trimestral en tres años. La cifra del PIB más débil fue impulsada en gran medida por revisiones significativas a la baja del gasto del consumidor y las exportaciones. El gasto del consumidor aumentó solo un 0.5%, el ritmo más lento desde las fuertes caídas de 2020, frente al 1.2% en la estimación anterior. Las exportaciones crecieron solo un 0.4% en comparación con la estimación anterior del 2.4%. Estas caídas solo fueron parcialmente compensadas por una revisión a la baja de las importaciones (37.9% vs 42.6%). El fuerte aumento de las importaciones reflejó una prisa de las empresas y los consumidores por acumular bienes antes de los aumentos de precios anticipados derivados de una serie de anuncios arancelarios. Mientras tanto, el gasto del gobierno federal cayó un 4.6%, la mayor disminución desde el primer trimestre de 2022, y en línea con la segunda estimación. La inversión fija aumentó un 7.6%, el mayor avance desde mediados de 2023, pero ligeramente menos que el 7.8% en la lectura inicial.</w:t>
      </w:r>
    </w:p>
    <w:p w14:paraId="499415A3"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MÉXICO.</w:t>
      </w:r>
    </w:p>
    <w:p w14:paraId="510EE907"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información contenida en la Encuesta de Expectativas de Citi llevada a la práctica de 38 analistas, revisan al alza el crecimiento económico de México para el año 2025 de 0.02 % desde 0.01 %, pero muy lejos de 0.90 % estimado en el mes de febrero.</w:t>
      </w:r>
    </w:p>
    <w:p w14:paraId="440E9114" w14:textId="77777777" w:rsidR="005728A0" w:rsidRPr="00726BD5" w:rsidRDefault="005728A0" w:rsidP="005728A0">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rPr>
        <w:lastRenderedPageBreak/>
        <w:drawing>
          <wp:inline distT="0" distB="0" distL="0" distR="0" wp14:anchorId="2D968B22" wp14:editId="75606252">
            <wp:extent cx="4255117" cy="2627837"/>
            <wp:effectExtent l="0" t="0" r="0" b="1270"/>
            <wp:docPr id="941034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34040" name=""/>
                    <pic:cNvPicPr/>
                  </pic:nvPicPr>
                  <pic:blipFill rotWithShape="1">
                    <a:blip r:embed="rId9"/>
                    <a:srcRect l="13286" t="33078" r="33716" b="14556"/>
                    <a:stretch>
                      <a:fillRect/>
                    </a:stretch>
                  </pic:blipFill>
                  <pic:spPr bwMode="auto">
                    <a:xfrm>
                      <a:off x="0" y="0"/>
                      <a:ext cx="4312423" cy="2663228"/>
                    </a:xfrm>
                    <a:prstGeom prst="rect">
                      <a:avLst/>
                    </a:prstGeom>
                    <a:ln>
                      <a:noFill/>
                    </a:ln>
                    <a:extLst>
                      <a:ext uri="{53640926-AAD7-44D8-BBD7-CCE9431645EC}">
                        <a14:shadowObscured xmlns:a14="http://schemas.microsoft.com/office/drawing/2010/main"/>
                      </a:ext>
                    </a:extLst>
                  </pic:spPr>
                </pic:pic>
              </a:graphicData>
            </a:graphic>
          </wp:inline>
        </w:drawing>
      </w:r>
    </w:p>
    <w:p w14:paraId="7DE07671"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En el detalle de la encuesta se observa que las previsiones de los 38 analistas se encuentran dentro de un rango que va de -0.6% que proyecta </w:t>
      </w:r>
      <w:proofErr w:type="spellStart"/>
      <w:r w:rsidRPr="00726BD5">
        <w:rPr>
          <w:rFonts w:ascii="Montserrat" w:eastAsia="Times New Roman" w:hAnsi="Montserrat" w:cs="Arial"/>
        </w:rPr>
        <w:t>Masari</w:t>
      </w:r>
      <w:proofErr w:type="spellEnd"/>
      <w:r w:rsidRPr="00726BD5">
        <w:rPr>
          <w:rFonts w:ascii="Montserrat" w:eastAsia="Times New Roman" w:hAnsi="Montserrat" w:cs="Arial"/>
        </w:rPr>
        <w:t xml:space="preserve"> Casa de Bolsa a 0.7% que proyecta Barclays.</w:t>
      </w:r>
    </w:p>
    <w:p w14:paraId="272CC683"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Para ponderar esta previsión promedio del mercado, basta recordar que el pasado 28 de mayo, en la presentación del Informe Trimestral, el Banco de México ajustó su pronóstico de crecimiento a 0.1% puntual para el 2025.</w:t>
      </w:r>
    </w:p>
    <w:p w14:paraId="7BC853FF"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De acuerdo con los resultados de la encuesta, la mediana de los expertos anticipa que la economía mexicana registrará un repunte en el 2026, con un crecimiento de 1.3 por ciento. Esta previsión incorpora un recorte desde 1.80% estimado por ellos en febrero.</w:t>
      </w:r>
    </w:p>
    <w:p w14:paraId="4F4B579F"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Producto Interno Bruto (PIB).</w:t>
      </w:r>
    </w:p>
    <w:p w14:paraId="186D3D84"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Producto Interno Bruto trimestral ofrece, en el corto plazo, una visión oportuna, completa y coherente de la evolución de las actividades económicas del país, proporcionando información oportuna y actualizada, para apoyar la toma de decisiones”. (INEGI).</w:t>
      </w:r>
    </w:p>
    <w:p w14:paraId="31DDA0C2"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Producto Interno Bruto (PIB) de México, con datos del Instituto Nacional de Estadística y Geografía (INEGI) para el primer trimestre 2025 y con series desestacionalizados, el PIB creció 0.6 % con respecto al primer trimestre del año 2024. (Reporte de INEGI 30 de abril de 2025).</w:t>
      </w:r>
    </w:p>
    <w:p w14:paraId="1E6D07F9"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lastRenderedPageBreak/>
        <w:t>La Secretaría de Hacienda y Crédito Público, se pronuncia oficialmente la proyección bastante optimista sobre el crecimiento de la economía mexicana (PIB) en 2.0 %, así mismo en este concepto, la “Encuesta sobre las Expectativas de los Especialistas en Economía del Sector Privado del Banco de México (Banxico)” arrojó que el Producto Interno Bruto (PIB) nacional crecerá 0.2% en 2025.</w:t>
      </w:r>
    </w:p>
    <w:p w14:paraId="57D79899"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El comportamiento del PIB en cifras desestacionalizadas por grupo de actividades base 2018, la variación porcentual por Actividades Económicas se presentó en el primer trimestre de 2025 con los siguientes datos: </w:t>
      </w:r>
    </w:p>
    <w:p w14:paraId="050607D1"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Primarias: 6.7 %.</w:t>
      </w:r>
    </w:p>
    <w:p w14:paraId="5366956C"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Secundarias: -1.3 %. Se puede entender que la tasa negativa en esta actividad económica, se debe en una desatención a una de las variables de la Demanda Agregada que es la Inversión (I).</w:t>
      </w:r>
    </w:p>
    <w:p w14:paraId="217F286D"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Terciarias: 1.1 %.</w:t>
      </w:r>
    </w:p>
    <w:p w14:paraId="263EAF6C"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Los datos arrojados del PIB en el primer trimestre de 2025, confirman una desaceleración de la economía que reflejará su impacto durante el segundo trimestre de 2025.</w:t>
      </w:r>
    </w:p>
    <w:p w14:paraId="4DDC8332" w14:textId="77777777" w:rsidR="005728A0" w:rsidRPr="00726BD5" w:rsidRDefault="005728A0" w:rsidP="005728A0">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rPr>
        <w:drawing>
          <wp:inline distT="0" distB="0" distL="0" distR="0" wp14:anchorId="3FC191B0" wp14:editId="6242317D">
            <wp:extent cx="4687342" cy="3209925"/>
            <wp:effectExtent l="0" t="0" r="0" b="0"/>
            <wp:docPr id="740972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72056" name=""/>
                    <pic:cNvPicPr/>
                  </pic:nvPicPr>
                  <pic:blipFill rotWithShape="1">
                    <a:blip r:embed="rId10"/>
                    <a:srcRect l="29179" t="22129" r="10435" b="11709"/>
                    <a:stretch>
                      <a:fillRect/>
                    </a:stretch>
                  </pic:blipFill>
                  <pic:spPr bwMode="auto">
                    <a:xfrm>
                      <a:off x="0" y="0"/>
                      <a:ext cx="4716430" cy="3229844"/>
                    </a:xfrm>
                    <a:prstGeom prst="rect">
                      <a:avLst/>
                    </a:prstGeom>
                    <a:ln>
                      <a:noFill/>
                    </a:ln>
                    <a:extLst>
                      <a:ext uri="{53640926-AAD7-44D8-BBD7-CCE9431645EC}">
                        <a14:shadowObscured xmlns:a14="http://schemas.microsoft.com/office/drawing/2010/main"/>
                      </a:ext>
                    </a:extLst>
                  </pic:spPr>
                </pic:pic>
              </a:graphicData>
            </a:graphic>
          </wp:inline>
        </w:drawing>
      </w:r>
    </w:p>
    <w:p w14:paraId="1FA20183"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lastRenderedPageBreak/>
        <w:t>INFLACIÓN</w:t>
      </w:r>
    </w:p>
    <w:p w14:paraId="2520CB18"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El Instituto Nacional de Estadística y Geografía (INEGI), reporta la inflación anual para el mes de junio de 2025, de 4.32 %, con la tendencia hacia la baja comparándose con la inflación del mes de mayo de 4.42 %. </w:t>
      </w:r>
    </w:p>
    <w:p w14:paraId="761C1CA6"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“En un sondeo realizado hace unos días en el Mercado Batallón de Patricio, de la Ciudad de México, los consumidores y comerciantes coincidieron en que productos básicos como el pollo, la carne y las verduras son los que más han subido de precio en este 2025”. (El Economista. Julio 09, 2025).</w:t>
      </w:r>
    </w:p>
    <w:p w14:paraId="2F8410B4"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gráfica siguiente muestra los datos del comportamiento de la inflación registrados en tres periodos diferentes: junio de 2023, junio de 2024 y junio de 2025. Los tres registros fuera del objetivo de Banxico.</w:t>
      </w:r>
    </w:p>
    <w:p w14:paraId="7881A1BA" w14:textId="77777777" w:rsidR="005728A0" w:rsidRPr="00726BD5" w:rsidRDefault="005728A0" w:rsidP="005728A0">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rPr>
        <w:drawing>
          <wp:inline distT="0" distB="0" distL="0" distR="0" wp14:anchorId="70FC510F" wp14:editId="012AD66A">
            <wp:extent cx="3942000" cy="3240000"/>
            <wp:effectExtent l="0" t="0" r="1905" b="0"/>
            <wp:docPr id="338101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01349" name=""/>
                    <pic:cNvPicPr/>
                  </pic:nvPicPr>
                  <pic:blipFill rotWithShape="1">
                    <a:blip r:embed="rId11"/>
                    <a:srcRect l="18887" t="30410" r="39662" b="15814"/>
                    <a:stretch>
                      <a:fillRect/>
                    </a:stretch>
                  </pic:blipFill>
                  <pic:spPr bwMode="auto">
                    <a:xfrm>
                      <a:off x="0" y="0"/>
                      <a:ext cx="3942000" cy="3240000"/>
                    </a:xfrm>
                    <a:prstGeom prst="rect">
                      <a:avLst/>
                    </a:prstGeom>
                    <a:ln>
                      <a:noFill/>
                    </a:ln>
                    <a:extLst>
                      <a:ext uri="{53640926-AAD7-44D8-BBD7-CCE9431645EC}">
                        <a14:shadowObscured xmlns:a14="http://schemas.microsoft.com/office/drawing/2010/main"/>
                      </a:ext>
                    </a:extLst>
                  </pic:spPr>
                </pic:pic>
              </a:graphicData>
            </a:graphic>
          </wp:inline>
        </w:drawing>
      </w:r>
    </w:p>
    <w:p w14:paraId="202662B2" w14:textId="77777777" w:rsidR="005728A0" w:rsidRPr="00726BD5" w:rsidRDefault="005728A0" w:rsidP="005728A0">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rPr>
        <w:lastRenderedPageBreak/>
        <w:drawing>
          <wp:inline distT="0" distB="0" distL="0" distR="0" wp14:anchorId="1B9146DB" wp14:editId="61266AAA">
            <wp:extent cx="5245200" cy="3240000"/>
            <wp:effectExtent l="0" t="0" r="0" b="0"/>
            <wp:docPr id="2105671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71718" name=""/>
                    <pic:cNvPicPr/>
                  </pic:nvPicPr>
                  <pic:blipFill rotWithShape="1">
                    <a:blip r:embed="rId12"/>
                    <a:srcRect l="17670" t="13362" r="19602" b="24644"/>
                    <a:stretch>
                      <a:fillRect/>
                    </a:stretch>
                  </pic:blipFill>
                  <pic:spPr bwMode="auto">
                    <a:xfrm>
                      <a:off x="0" y="0"/>
                      <a:ext cx="5245200" cy="3240000"/>
                    </a:xfrm>
                    <a:prstGeom prst="rect">
                      <a:avLst/>
                    </a:prstGeom>
                    <a:ln>
                      <a:noFill/>
                    </a:ln>
                    <a:extLst>
                      <a:ext uri="{53640926-AAD7-44D8-BBD7-CCE9431645EC}">
                        <a14:shadowObscured xmlns:a14="http://schemas.microsoft.com/office/drawing/2010/main"/>
                      </a:ext>
                    </a:extLst>
                  </pic:spPr>
                </pic:pic>
              </a:graphicData>
            </a:graphic>
          </wp:inline>
        </w:drawing>
      </w:r>
    </w:p>
    <w:p w14:paraId="41E63D7A" w14:textId="77777777" w:rsidR="00726BD5" w:rsidRDefault="00726BD5" w:rsidP="005728A0">
      <w:pPr>
        <w:tabs>
          <w:tab w:val="left" w:pos="7260"/>
        </w:tabs>
        <w:spacing w:before="240" w:after="240"/>
        <w:jc w:val="both"/>
        <w:rPr>
          <w:rFonts w:ascii="Montserrat" w:eastAsia="Times New Roman" w:hAnsi="Montserrat" w:cs="Arial"/>
        </w:rPr>
      </w:pPr>
    </w:p>
    <w:p w14:paraId="7BA4FF88" w14:textId="5EFD9912"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Banco de México (Banxico), apegado a la estrategia de controlar la inflación cuyo medio es a través de la tasa de referencia, que después del último ajuste a la baja durante el presente año cerrándola en el nivel de 8.0%, aún el nivel, sigue siendo muy alto para generar el estímulo para la disposición de créditos. El dato inflacionario del mes junio de 2025, no se cumple el objetivo estratégico de Banxico de mantener   la inflación en el rango de +/- 1 de 3.0%.</w:t>
      </w:r>
    </w:p>
    <w:p w14:paraId="03EBFF71"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 xml:space="preserve">Trabajadores Asegurados en el Instituto Mexicano del Seguro Social (IMSS). </w:t>
      </w:r>
    </w:p>
    <w:p w14:paraId="0FB34F6C" w14:textId="73D868CD"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El número de trabajadores asegurados en el IMSS al mes de junio de 2025, fue de 22,325,666 trabajadores. El 87.47% son de la categoría de permanentes, Urbanos 11.65 % y Del campo 0.87%. En números absolutos se generaron de diciembre 2024 a junio de 2025, 87,287 puestos de trabajo que corresponden porcentualmente al 0.39%. </w:t>
      </w:r>
    </w:p>
    <w:p w14:paraId="6CFA8CA4"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Resalta durante el mes de junio de 2025, la pérdida de 46,378 empleos formales comparados con los empleos generados en mes de mayo del mimo año. </w:t>
      </w:r>
    </w:p>
    <w:p w14:paraId="62F26870"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lastRenderedPageBreak/>
        <w:t>La información como resultado obtenido del análisis de trabajadores contratados registrados ante el IMSS durante el mes de enero a junio de 2025 es completamente baja, adicionalmente, la pérdida de empleos formales durante el mes de mayo se torna crítica el tema laboral.</w:t>
      </w:r>
    </w:p>
    <w:p w14:paraId="089D6A15"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Cabe señalar que es el efecto de la contracción de la inversión pública y privada que se viene observando desde el sexenio pasado y se agudiza en el presente.</w:t>
      </w:r>
    </w:p>
    <w:p w14:paraId="19FB4F7E" w14:textId="284374DA"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En el periodo junio 2024 y junio 2025, se registró un incremento marginal de 0.03% de la contratación de trabajadores registrados en el IMSS.</w:t>
      </w:r>
    </w:p>
    <w:p w14:paraId="59256086" w14:textId="3EE69999"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INEGI en su último reporte informa la Tasa de Desocupación de la Población Económicamente Activa para el mes de mayo de 2025, el 2.7%.</w:t>
      </w:r>
    </w:p>
    <w:p w14:paraId="09F4E706"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INVERSIÓN EXTRANJERA DIRECTA (IED).</w:t>
      </w:r>
    </w:p>
    <w:p w14:paraId="6DAF268B" w14:textId="2F9F6A95"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Inversión Extranjera Directa (IED) en México. Al cierre del cuarto trimestre de 2024, La Secretaría de Economía informa el alance máximo registrado durante este periodo relacionado con la IED en México de 36 mil 872 millones de dólares corrientes (mdd), siendo la cifra más alta del periodo desde que se tiene registro. El aumento de la IED respecto a la reportada para el cuarto trimestre de 2023 es del 2.26%. La particularidad de esta captación es que el mayor porcentaje corresponde al concepto de reinversión que demuestra la confianza de los inversionistas extranjeros en México.</w:t>
      </w:r>
    </w:p>
    <w:p w14:paraId="73669E80" w14:textId="77777777" w:rsidR="005728A0" w:rsidRPr="00726BD5" w:rsidRDefault="005728A0" w:rsidP="00213DD4">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rPr>
        <w:drawing>
          <wp:inline distT="0" distB="0" distL="0" distR="0" wp14:anchorId="5C724DAC" wp14:editId="385F9890">
            <wp:extent cx="4893514" cy="2390775"/>
            <wp:effectExtent l="0" t="0" r="2540" b="0"/>
            <wp:docPr id="517369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2772" cy="2395298"/>
                    </a:xfrm>
                    <a:prstGeom prst="rect">
                      <a:avLst/>
                    </a:prstGeom>
                    <a:noFill/>
                  </pic:spPr>
                </pic:pic>
              </a:graphicData>
            </a:graphic>
          </wp:inline>
        </w:drawing>
      </w:r>
    </w:p>
    <w:p w14:paraId="7AB1287B" w14:textId="38D1476A"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lastRenderedPageBreak/>
        <w:t xml:space="preserve"> De la IED reportada en el periodo de referencia, el 78% (28,710 mdd) corresponde a reinversión de utilidades, mismas que no retornaron a su país de origen; el 9% (3,169 mdd) al establecimiento de nuevas inversiones con capital extranjero y/o al aumento o incorporación de capital extranjero en las empresas ya establecidas en México; y el 13% restante (4,994 mdd), a cuentas entre compañías, como son préstamos, cobros y/o pagos entre empresas del mismo grupo corporativo en el exterior.</w:t>
      </w:r>
    </w:p>
    <w:p w14:paraId="796AFF80" w14:textId="77777777" w:rsidR="005728A0" w:rsidRPr="00726BD5" w:rsidRDefault="005728A0" w:rsidP="00213DD4">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rPr>
        <w:drawing>
          <wp:inline distT="0" distB="0" distL="0" distR="0" wp14:anchorId="22055978" wp14:editId="42461B39">
            <wp:extent cx="5547995" cy="2115185"/>
            <wp:effectExtent l="0" t="0" r="0" b="0"/>
            <wp:docPr id="9273510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7995" cy="2115185"/>
                    </a:xfrm>
                    <a:prstGeom prst="rect">
                      <a:avLst/>
                    </a:prstGeom>
                    <a:noFill/>
                  </pic:spPr>
                </pic:pic>
              </a:graphicData>
            </a:graphic>
          </wp:inline>
        </w:drawing>
      </w:r>
    </w:p>
    <w:p w14:paraId="4F1A4D59" w14:textId="466C9884"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 Resultado de lo anterior, se observan entradas efectivas de IED que ascienden a 85,879 mdd y unas salidas efectivas por 49,007 mdd, resultando en una IED neta en México de 36,872 mdd.</w:t>
      </w:r>
    </w:p>
    <w:p w14:paraId="4EFCFCC1"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ESTADO DE OAXACA.</w:t>
      </w:r>
    </w:p>
    <w:p w14:paraId="5A794656" w14:textId="4F23CF60"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Congreso del Estado de Oaxaca, aprobó con mayoría de votos el paquete económico para el ejercicio fiscal 2025 que contempla un monto de gasto total para el Presupuesto de Egresos por un monto de 103, 967,000 pesos, que representa un incremento de 3.39% con respecto del año 2024.</w:t>
      </w:r>
    </w:p>
    <w:p w14:paraId="798C435B"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Tocante a la Ley de Ingresos, el monto es similar, haciendo hincapié no aplicación de nuevos impuestos y de continuar con la iniciativa de no contratar deuda pública de largo y corto plazos como el gobierno durante su administración ha llevado a la práctica.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w:t>
      </w:r>
    </w:p>
    <w:p w14:paraId="1500EC67"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lastRenderedPageBreak/>
        <w:t>Alguno legisladores dando la prioridad a la iniciativa gubernamental, optaron como objetivos a la asignación de recursos por 2,970 mil millones de pesos a programas sociales orientados al fortalecer del campo, la salud, juventudes, caminos, la seguridad y educación.</w:t>
      </w:r>
    </w:p>
    <w:p w14:paraId="5F79E616"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Para fortalecer a los 570 municipios, 22,550.5 millones de pesos.</w:t>
      </w:r>
    </w:p>
    <w:p w14:paraId="627CBC72"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Contratación de un Seguro Catastrófico y el Mantenimiento de los sistemas de Alertamiento Sísmico por el monto aproximado de 122.7 millones de pesos.</w:t>
      </w:r>
    </w:p>
    <w:p w14:paraId="6656552D"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Poder Legislativo: 618.5 millones de pesos.</w:t>
      </w:r>
    </w:p>
    <w:p w14:paraId="190E918B"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Poder Judicial: 1,148.9 millones de pesos.</w:t>
      </w:r>
    </w:p>
    <w:p w14:paraId="5EF22E14"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Poder Ejecutivo: 75, 732.4 millones de pesos.</w:t>
      </w:r>
    </w:p>
    <w:p w14:paraId="0BDE9208"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Órganos Autónomos: 2,950.7 millones de pesos.</w:t>
      </w:r>
    </w:p>
    <w:p w14:paraId="7494EB6F"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Además, se asignaron apoyos importantes a programas dirigidas a las mujeres oaxaqueñas.</w:t>
      </w:r>
    </w:p>
    <w:p w14:paraId="1018F9D0"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El Gobierno del Estado de Oaxaca, continúa con apego a los planteamientos administrativos y financieros determinados al inicio que asumió la administración, bajo el esquema de no endeudar al Estado. Al contrario del incremento de la deuda pública, recientemente, llevó a la práctica la restructuración de la deuda en la cual resultó favorablemente en el manejo en el concepto del servicio de la deuda como moderado y decreciente. </w:t>
      </w:r>
    </w:p>
    <w:p w14:paraId="29345709"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En término concreto, se resume en lo siguiente: continuar con la iniciativa de no contratar deuda pública de largo y corto plazos siempre y cuando de no presentarse alguna contingencia que lo amerite. Por lo que se observa,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 para afrontar los gastos generados hasta el cierre del segundo trimestre de 2025.</w:t>
      </w:r>
    </w:p>
    <w:p w14:paraId="57FBD021"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CRECIMIENTO ECONÓMICO CUARTO TRIMESTRE 2024.</w:t>
      </w:r>
    </w:p>
    <w:p w14:paraId="726C7659" w14:textId="67450A95"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lastRenderedPageBreak/>
        <w:t>El Indicador Trimestral de la Actividad Económica Estatal (</w:t>
      </w:r>
      <w:proofErr w:type="spellStart"/>
      <w:r w:rsidRPr="00726BD5">
        <w:rPr>
          <w:rFonts w:ascii="Montserrat" w:eastAsia="Times New Roman" w:hAnsi="Montserrat" w:cs="Arial"/>
        </w:rPr>
        <w:t>ITAE</w:t>
      </w:r>
      <w:proofErr w:type="spellEnd"/>
      <w:r w:rsidRPr="00726BD5">
        <w:rPr>
          <w:rFonts w:ascii="Montserrat" w:eastAsia="Times New Roman" w:hAnsi="Montserrat" w:cs="Arial"/>
        </w:rPr>
        <w:t>) Cuarto Trimestre 2024 emitido por el INEGI en su última actualización con fecha 29 de abril de 2025, la información contenida en este boletín, el Estado de Oaxaca asciende al tercer lugar con un registro de 4.7% con respecto al cuarto trimestre de 2024, de crecimiento económico comparándose con sus pares nacional. Siendo el estado de Guerreo que se posiciona en el primer lugar con el 10.8%, así mismo se reporta que el estado de Zacatecas ocupa el segundo lugar al registrar 5.1%.</w:t>
      </w:r>
    </w:p>
    <w:p w14:paraId="460537E8" w14:textId="3551F6D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Las variaciones porcentuales al IV trimestre de 202</w:t>
      </w:r>
      <w:r w:rsidR="00213DD4" w:rsidRPr="00726BD5">
        <w:rPr>
          <w:rFonts w:ascii="Montserrat" w:eastAsia="Times New Roman" w:hAnsi="Montserrat" w:cs="Arial"/>
        </w:rPr>
        <w:t>4</w:t>
      </w:r>
      <w:r w:rsidRPr="00726BD5">
        <w:rPr>
          <w:rFonts w:ascii="Montserrat" w:eastAsia="Times New Roman" w:hAnsi="Montserrat" w:cs="Arial"/>
        </w:rPr>
        <w:t xml:space="preserve"> de las Actividades Económicas son las siguientes:</w:t>
      </w:r>
    </w:p>
    <w:p w14:paraId="513E979F"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Actividades Primarias: -1.1 %.</w:t>
      </w:r>
    </w:p>
    <w:p w14:paraId="694B8E85"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Actividades Secundarias: 11.8 %.</w:t>
      </w:r>
    </w:p>
    <w:p w14:paraId="12A76367"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Actividades Terciarias: 0.9 %.</w:t>
      </w:r>
    </w:p>
    <w:p w14:paraId="3A9D2D27"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En la gráfica del Indicador Trimestral de la Actividad Económica Estatal, base 2018, cifras originales.  </w:t>
      </w:r>
    </w:p>
    <w:p w14:paraId="3AD9F6A1" w14:textId="4F09836E"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Con referencia a la variación porcentual, se observa el comportamiento de las entidades federativas en un rango de -17.0% a 10.8% y la media nacional fue de 1.3%.</w:t>
      </w:r>
    </w:p>
    <w:p w14:paraId="56D74093"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resultado del trimestre en cuestión (IV T 2024) deja entrever el comportamiento irregular del crecimiento de los estados de la república mexicana.</w:t>
      </w:r>
    </w:p>
    <w:p w14:paraId="1AD52930" w14:textId="77777777" w:rsidR="005728A0" w:rsidRPr="00726BD5" w:rsidRDefault="005728A0" w:rsidP="00213DD4">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rPr>
        <w:lastRenderedPageBreak/>
        <w:drawing>
          <wp:inline distT="0" distB="0" distL="0" distR="0" wp14:anchorId="168F3041" wp14:editId="0E3AD93A">
            <wp:extent cx="5401875" cy="4828020"/>
            <wp:effectExtent l="0" t="0" r="8890" b="0"/>
            <wp:docPr id="8393994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99432" name=""/>
                    <pic:cNvPicPr/>
                  </pic:nvPicPr>
                  <pic:blipFill rotWithShape="1">
                    <a:blip r:embed="rId15"/>
                    <a:srcRect l="32270" t="14020" r="15945" b="11930"/>
                    <a:stretch>
                      <a:fillRect/>
                    </a:stretch>
                  </pic:blipFill>
                  <pic:spPr bwMode="auto">
                    <a:xfrm>
                      <a:off x="0" y="0"/>
                      <a:ext cx="5426444" cy="4849979"/>
                    </a:xfrm>
                    <a:prstGeom prst="rect">
                      <a:avLst/>
                    </a:prstGeom>
                    <a:ln>
                      <a:noFill/>
                    </a:ln>
                    <a:extLst>
                      <a:ext uri="{53640926-AAD7-44D8-BBD7-CCE9431645EC}">
                        <a14:shadowObscured xmlns:a14="http://schemas.microsoft.com/office/drawing/2010/main"/>
                      </a:ext>
                    </a:extLst>
                  </pic:spPr>
                </pic:pic>
              </a:graphicData>
            </a:graphic>
          </wp:inline>
        </w:drawing>
      </w:r>
    </w:p>
    <w:p w14:paraId="7E99CB7C" w14:textId="3B03F74A"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Trabajadores Asegurados en el Instituto Mexicano del Seguro Social (IMSS). Al mes de junio de 2025.</w:t>
      </w:r>
    </w:p>
    <w:p w14:paraId="6D2044F6"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El IMSS, con datos de la </w:t>
      </w:r>
      <w:proofErr w:type="spellStart"/>
      <w:r w:rsidRPr="00726BD5">
        <w:rPr>
          <w:rFonts w:ascii="Montserrat" w:eastAsia="Times New Roman" w:hAnsi="Montserrat" w:cs="Arial"/>
        </w:rPr>
        <w:t>STYPS</w:t>
      </w:r>
      <w:proofErr w:type="spellEnd"/>
      <w:r w:rsidRPr="00726BD5">
        <w:rPr>
          <w:rFonts w:ascii="Montserrat" w:eastAsia="Times New Roman" w:hAnsi="Montserrat" w:cs="Arial"/>
        </w:rPr>
        <w:t>, tiene como registro de trabajadores asegurados en ese instituto para el Estado de Oaxaca en el mes de junio de 2025, en números absolutos de 229,463 trabajadores, con un decremento de -1.87 % con respecto a junio de 2024. Se identifican bajo la siguiente clasificación: Permanentes 198,925, Urbanos 30,538 y del Campo 519 trabajadores. Durante el mes de junio de 2025, 1,962 trabajadores asegurados al IMSS perdieron su registro con respecto al mes de mayo del mismo año.</w:t>
      </w:r>
    </w:p>
    <w:p w14:paraId="0A028762" w14:textId="0377F26A" w:rsidR="005728A0" w:rsidRPr="00726BD5" w:rsidRDefault="005728A0" w:rsidP="00213DD4">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lastRenderedPageBreak/>
        <w:t>De diciembre de 2024 a junio de 2025, los trabajadores que dejaron de permanecer al IMSS fueron 7,442 trabajadores que dejaron de percibir un ingreso constante. En otras palabras se perdieron esas plazas formales.</w:t>
      </w:r>
    </w:p>
    <w:p w14:paraId="1E107160"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Estos datos deben ser de alerta dado que es de gran importancia que los trabajadores no pierdan su fuente de ingresos en bien de la economía oaxaqueña. En estos casos, se debe revisar la fórmula de la Demanda Agregada en la variable Inversión (I).</w:t>
      </w:r>
    </w:p>
    <w:p w14:paraId="77DA413E"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INFLACIÓN. (junio de 2025).</w:t>
      </w:r>
    </w:p>
    <w:p w14:paraId="0B05F1C5" w14:textId="2232B40B"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inflación nacional, ha mantenido el parámetro objetivo del Banco de México (Banxico) de 3.0 % (+) (-) 1 punto porcentual. El mes de junio de 2025, el INEGI reporta el índice inflacionario generalizado de 4.32%.</w:t>
      </w:r>
    </w:p>
    <w:p w14:paraId="7E18CAFC" w14:textId="0E31BB8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El Índice de Precios del consumidor (INPC) el Estado de Oaxaca, registró una inflación anual de 4.7%, por arriba de la media nacional. </w:t>
      </w:r>
    </w:p>
    <w:p w14:paraId="18301D23"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De hecho, durante el mes de junio el Estado de Oaxaca fue la sexta entidad federativa /más cara del país. </w:t>
      </w:r>
    </w:p>
    <w:p w14:paraId="08DA774C" w14:textId="3AE4E4B9"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INPC, para la Ciudad de Oaxaca para el mismo periodo registró una inflación anualizada de 4.58%, así mismo, respecto a la inflación registrada para la Cd. de Tehuantepec, Oax., 4.95% en el mismo mes referido.</w:t>
      </w:r>
    </w:p>
    <w:p w14:paraId="401F5F33" w14:textId="77777777" w:rsidR="005728A0" w:rsidRPr="00726BD5" w:rsidRDefault="005728A0" w:rsidP="00213DD4">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rPr>
        <w:drawing>
          <wp:inline distT="0" distB="0" distL="0" distR="0" wp14:anchorId="02AC2E9C" wp14:editId="0A744110">
            <wp:extent cx="4762774" cy="2971800"/>
            <wp:effectExtent l="0" t="0" r="0" b="0"/>
            <wp:docPr id="782644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44065" name=""/>
                    <pic:cNvPicPr/>
                  </pic:nvPicPr>
                  <pic:blipFill rotWithShape="1">
                    <a:blip r:embed="rId16"/>
                    <a:srcRect l="22053" t="13363" r="22201" b="30986"/>
                    <a:stretch>
                      <a:fillRect/>
                    </a:stretch>
                  </pic:blipFill>
                  <pic:spPr bwMode="auto">
                    <a:xfrm>
                      <a:off x="0" y="0"/>
                      <a:ext cx="4792961" cy="2990635"/>
                    </a:xfrm>
                    <a:prstGeom prst="rect">
                      <a:avLst/>
                    </a:prstGeom>
                    <a:ln>
                      <a:noFill/>
                    </a:ln>
                    <a:extLst>
                      <a:ext uri="{53640926-AAD7-44D8-BBD7-CCE9431645EC}">
                        <a14:shadowObscured xmlns:a14="http://schemas.microsoft.com/office/drawing/2010/main"/>
                      </a:ext>
                    </a:extLst>
                  </pic:spPr>
                </pic:pic>
              </a:graphicData>
            </a:graphic>
          </wp:inline>
        </w:drawing>
      </w:r>
    </w:p>
    <w:p w14:paraId="5C92A103"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lastRenderedPageBreak/>
        <w:t>Inversión Extranjera Directa (IED). Diciembre de 2024.</w:t>
      </w:r>
    </w:p>
    <w:p w14:paraId="0037D985"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En el año de 2024, la IED en el Estado de Oaxaca alcanzó 82.0 mdd, distribuidos en reinversión de utilidades 16.0 mdd, nuevas inversiones 16.0 mdd y cuentas entre compañías 44.7 mdd.</w:t>
      </w:r>
    </w:p>
    <w:p w14:paraId="79A0663B"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Desde 2006 a septiembre de 2024, Oaxaca acumula un total de 5,762.4 mdd en IED, distribuidos en nuevas inversiones $2,202.5 mdd, reinversión de utilidades 1,778.0 mdd y cuentas entre compañías 1,779.4 mdd.</w:t>
      </w:r>
    </w:p>
    <w:p w14:paraId="197ED801"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Históricamente, el año 2013 fue el mejor año de captación en contexto de la IED, con un monto de 1,942.6 mdd, en los rubros de Nueva Inversión: 1454.2 mdd, Reinversión de Utilidades: 104.3 mdd y Cuentas Entre Compañías: 384.1 mdd. </w:t>
      </w:r>
    </w:p>
    <w:p w14:paraId="323155E3"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La mira de los inversionistas extranjeros hacia el Estado de Oaxaca, aún no ha llamado la atención. </w:t>
      </w:r>
    </w:p>
    <w:p w14:paraId="29B8AFCC"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interés por las empresas trasnacionales de invertir en México con el propósito de acercarse al mercado de los Estados Unidos llamado nearshoring, por lo que se observa para el Estado de Oaxaca, no está siendo beneficiado al referirnos con el reporte al cierre de 2024.</w:t>
      </w:r>
    </w:p>
    <w:p w14:paraId="1361B7C0"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Opinión de las agencias calificadoras sobre el riesgo crediticio del Estado.</w:t>
      </w:r>
    </w:p>
    <w:p w14:paraId="26D30E27"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tabla siguiente presenta la comparación de 2021 y 2024 donde se observa una alta percepción de la opinión crediticia de las agencias calificadoras para el Estado de Oaxaca para el año 2024.</w:t>
      </w:r>
    </w:p>
    <w:p w14:paraId="09D2BA00" w14:textId="77777777" w:rsidR="005728A0" w:rsidRPr="00726BD5" w:rsidRDefault="005728A0" w:rsidP="00213DD4">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rPr>
        <w:drawing>
          <wp:inline distT="0" distB="0" distL="0" distR="0" wp14:anchorId="5CD5B3C3" wp14:editId="0D5E14BD">
            <wp:extent cx="5614670" cy="1207135"/>
            <wp:effectExtent l="0" t="0" r="5080" b="0"/>
            <wp:docPr id="1799125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670" cy="1207135"/>
                    </a:xfrm>
                    <a:prstGeom prst="rect">
                      <a:avLst/>
                    </a:prstGeom>
                    <a:noFill/>
                  </pic:spPr>
                </pic:pic>
              </a:graphicData>
            </a:graphic>
          </wp:inline>
        </w:drawing>
      </w:r>
    </w:p>
    <w:p w14:paraId="74363E94"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Los años 2023 y 2024, es el periodo en que se consolida la estrategia de administración financiera que ha servido de base para la obtención de las mejores calificaciones dentro de los años en que el Estado ha sido observado por las calificadoras. (2005-2024).</w:t>
      </w:r>
    </w:p>
    <w:p w14:paraId="600BB6E3"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lastRenderedPageBreak/>
        <w:t xml:space="preserve"> La interpretación de las calificaciones se expresa y resume de la siguiente manera:  el Estado de Oaxaca presenta una sólida capacidad de pago de intereses, así como del principal y es poco susceptible a cambios económicos, cuyo significado se traduce que el Estado ofrece seguridad para el pago de sus obligaciones contratadas. En otras palabras, las calificaciones emitidas, reflejan bajo riesgo y certeza de cumplimiento en todo momento.</w:t>
      </w:r>
    </w:p>
    <w:bookmarkEnd w:id="3"/>
    <w:p w14:paraId="351346CE" w14:textId="1659D30A" w:rsidR="00B0059B" w:rsidRPr="00726BD5" w:rsidRDefault="00B0059B" w:rsidP="00F129E5">
      <w:pPr>
        <w:pStyle w:val="Prrafodelista"/>
        <w:widowControl w:val="0"/>
        <w:numPr>
          <w:ilvl w:val="0"/>
          <w:numId w:val="6"/>
        </w:numPr>
        <w:ind w:left="426" w:hanging="426"/>
        <w:jc w:val="both"/>
        <w:rPr>
          <w:rFonts w:ascii="Montserrat" w:hAnsi="Montserrat"/>
          <w:b/>
          <w:sz w:val="24"/>
          <w:szCs w:val="24"/>
        </w:rPr>
      </w:pPr>
      <w:r w:rsidRPr="00726BD5">
        <w:rPr>
          <w:rFonts w:ascii="Montserrat" w:hAnsi="Montserrat"/>
          <w:b/>
          <w:sz w:val="24"/>
          <w:szCs w:val="24"/>
        </w:rPr>
        <w:t>Organización y Objeto Social.</w:t>
      </w:r>
    </w:p>
    <w:p w14:paraId="30BECA59" w14:textId="77777777" w:rsidR="00B0059B" w:rsidRPr="00726BD5" w:rsidRDefault="00B0059B" w:rsidP="00B0059B">
      <w:pPr>
        <w:pStyle w:val="Prrafodelista"/>
        <w:widowControl w:val="0"/>
        <w:ind w:left="426"/>
        <w:jc w:val="both"/>
        <w:rPr>
          <w:rFonts w:ascii="Montserrat" w:hAnsi="Montserrat"/>
          <w:b/>
          <w:sz w:val="24"/>
          <w:szCs w:val="24"/>
        </w:rPr>
      </w:pPr>
    </w:p>
    <w:p w14:paraId="226577E0" w14:textId="77777777" w:rsidR="00B0059B" w:rsidRPr="00726BD5"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Objeto social.</w:t>
      </w:r>
    </w:p>
    <w:p w14:paraId="29B4810D"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Con fundamento en el Artículo 1 de la Constitución Política del Estado Libre y Soberano de Oaxaca, el cual indica en su que el Estado de Oaxaca es multiétnico, pluricultural y multilingüe, parte integrante de los Estados Unidos Mexicanos, libre y soberano en todo lo que concierne a su régimen interior, e indica que las autoridades del Estado, en el ámbito de sus competencias, tienen la obligación de promover, respetar, proteger y garantizar los derechos humanos, de conformidad con los principios de universalidad, interdependencia, pluriculturalidad y progresividad. </w:t>
      </w:r>
    </w:p>
    <w:p w14:paraId="0CC79DCD" w14:textId="77777777" w:rsidR="00B0059B" w:rsidRPr="00726BD5" w:rsidRDefault="00B0059B" w:rsidP="00B0059B">
      <w:pPr>
        <w:tabs>
          <w:tab w:val="left" w:pos="7260"/>
        </w:tabs>
        <w:jc w:val="both"/>
        <w:rPr>
          <w:rFonts w:ascii="Montserrat" w:eastAsia="Times New Roman" w:hAnsi="Montserrat" w:cs="Arial"/>
        </w:rPr>
      </w:pPr>
    </w:p>
    <w:p w14:paraId="60FD7F49"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Por lo anterior, el Poder Ejecutivo del Estado conducirá sus actividades en forma programada, con base en las políticas de planeación que establezca el Titular del Ejecutivo para el logro de los objetivos y prioridades de desarrollo y en los términos que fijen los convenios de coordinación respectivos, para la ejecución de los planes Nacional y Estatal de Desarrollo y los correspondientes programas de la Administración Pública.</w:t>
      </w:r>
    </w:p>
    <w:p w14:paraId="78090E19" w14:textId="77777777" w:rsidR="00B0059B" w:rsidRPr="00726BD5" w:rsidRDefault="00B0059B" w:rsidP="00B0059B">
      <w:pPr>
        <w:tabs>
          <w:tab w:val="left" w:pos="7260"/>
        </w:tabs>
        <w:jc w:val="both"/>
        <w:rPr>
          <w:rFonts w:ascii="Montserrat" w:eastAsia="Times New Roman" w:hAnsi="Montserrat" w:cs="Arial"/>
        </w:rPr>
      </w:pPr>
    </w:p>
    <w:p w14:paraId="0E6EDB95" w14:textId="77777777" w:rsidR="00B0059B" w:rsidRPr="00726BD5"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Principal actividad</w:t>
      </w:r>
    </w:p>
    <w:p w14:paraId="4DEA9867"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Poder Ejecutivo del Gobierno del Estado de Oaxaca, tiene por objetivo la prestación de los servicios públicos y la producción de bienes para satisfacer las necesidades colectivas de la población del Estado de Oaxaca.</w:t>
      </w:r>
    </w:p>
    <w:p w14:paraId="3BE586E1" w14:textId="77777777" w:rsidR="00B0059B" w:rsidRPr="00726BD5" w:rsidRDefault="00B0059B" w:rsidP="00B0059B">
      <w:pPr>
        <w:tabs>
          <w:tab w:val="left" w:pos="7260"/>
        </w:tabs>
        <w:jc w:val="both"/>
        <w:rPr>
          <w:rFonts w:ascii="Montserrat" w:eastAsia="Times New Roman" w:hAnsi="Montserrat" w:cs="Arial"/>
        </w:rPr>
      </w:pPr>
    </w:p>
    <w:p w14:paraId="6F7428F2" w14:textId="77777777" w:rsidR="00B0059B" w:rsidRPr="00726BD5"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Ejercicio fiscal</w:t>
      </w:r>
    </w:p>
    <w:p w14:paraId="5653C97E"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Con base en el postulado básico de Contabilidad Gubernamental Periodo Contable que indica que la vida del ente público se divide en periodos uniformes de un año calendario, para efectos del registro de sus operaciones y de rendición de cuentas.</w:t>
      </w:r>
    </w:p>
    <w:p w14:paraId="6765D118" w14:textId="77777777" w:rsidR="00B0059B" w:rsidRPr="00726BD5" w:rsidRDefault="00B0059B" w:rsidP="00B0059B">
      <w:pPr>
        <w:tabs>
          <w:tab w:val="left" w:pos="7260"/>
        </w:tabs>
        <w:jc w:val="both"/>
        <w:rPr>
          <w:rFonts w:ascii="Montserrat" w:eastAsia="Times New Roman" w:hAnsi="Montserrat" w:cs="Arial"/>
        </w:rPr>
      </w:pPr>
    </w:p>
    <w:p w14:paraId="48137C41" w14:textId="14BF07AD"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lastRenderedPageBreak/>
        <w:t xml:space="preserve">Por tanto, la información financiera presentada en este documento </w:t>
      </w:r>
      <w:r w:rsidR="00772A80" w:rsidRPr="00726BD5">
        <w:rPr>
          <w:rFonts w:ascii="Montserrat" w:eastAsia="Times New Roman" w:hAnsi="Montserrat" w:cs="Arial"/>
        </w:rPr>
        <w:t>s</w:t>
      </w:r>
      <w:r w:rsidRPr="00726BD5">
        <w:rPr>
          <w:rFonts w:ascii="Montserrat" w:eastAsia="Times New Roman" w:hAnsi="Montserrat" w:cs="Arial"/>
        </w:rPr>
        <w:t>e refiere al periodo relativo a un año calendario, que comprende del 1 de enero</w:t>
      </w:r>
      <w:r w:rsidR="00772A80" w:rsidRPr="00726BD5">
        <w:rPr>
          <w:rFonts w:ascii="Montserrat" w:eastAsia="Times New Roman" w:hAnsi="Montserrat" w:cs="Arial"/>
        </w:rPr>
        <w:t xml:space="preserve"> al 3</w:t>
      </w:r>
      <w:r w:rsidR="00C16F98" w:rsidRPr="00726BD5">
        <w:rPr>
          <w:rFonts w:ascii="Montserrat" w:eastAsia="Times New Roman" w:hAnsi="Montserrat" w:cs="Arial"/>
        </w:rPr>
        <w:t>1 de diciembre</w:t>
      </w:r>
      <w:r w:rsidRPr="00726BD5">
        <w:rPr>
          <w:rFonts w:ascii="Montserrat" w:eastAsia="Times New Roman" w:hAnsi="Montserrat" w:cs="Arial"/>
        </w:rPr>
        <w:t>, y está directamente relacionado el ejercicio del presupuesto de ingresos estimado y el presupuesto de egresos autorizado para el ejercicio 202</w:t>
      </w:r>
      <w:r w:rsidR="00772A80" w:rsidRPr="00726BD5">
        <w:rPr>
          <w:rFonts w:ascii="Montserrat" w:eastAsia="Times New Roman" w:hAnsi="Montserrat" w:cs="Arial"/>
        </w:rPr>
        <w:t>4</w:t>
      </w:r>
      <w:r w:rsidRPr="00726BD5">
        <w:rPr>
          <w:rFonts w:ascii="Montserrat" w:eastAsia="Times New Roman" w:hAnsi="Montserrat" w:cs="Arial"/>
        </w:rPr>
        <w:t>.</w:t>
      </w:r>
    </w:p>
    <w:p w14:paraId="2E92B117" w14:textId="77777777" w:rsidR="00B0059B" w:rsidRPr="00726BD5" w:rsidRDefault="00B0059B" w:rsidP="00B0059B">
      <w:pPr>
        <w:tabs>
          <w:tab w:val="left" w:pos="7260"/>
        </w:tabs>
        <w:jc w:val="both"/>
        <w:rPr>
          <w:rFonts w:ascii="Montserrat" w:eastAsia="Times New Roman" w:hAnsi="Montserrat" w:cs="Arial"/>
        </w:rPr>
      </w:pPr>
    </w:p>
    <w:p w14:paraId="4CA09346" w14:textId="77777777" w:rsidR="00B0059B" w:rsidRPr="00726BD5" w:rsidRDefault="00B0059B" w:rsidP="00031666">
      <w:pPr>
        <w:pStyle w:val="Prrafodelista"/>
        <w:keepNext/>
        <w:widowControl w:val="0"/>
        <w:numPr>
          <w:ilvl w:val="0"/>
          <w:numId w:val="12"/>
        </w:numPr>
        <w:ind w:left="714" w:hanging="357"/>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Régimen Jurídico</w:t>
      </w:r>
    </w:p>
    <w:p w14:paraId="473ECF0D"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Poder ejecutivo está regulado por la siguiente legislación:</w:t>
      </w:r>
    </w:p>
    <w:p w14:paraId="4F9A11C5" w14:textId="77777777" w:rsidR="00B0059B" w:rsidRPr="00726BD5" w:rsidRDefault="00B0059B" w:rsidP="00B0059B">
      <w:pPr>
        <w:tabs>
          <w:tab w:val="left" w:pos="7260"/>
        </w:tabs>
        <w:jc w:val="both"/>
        <w:rPr>
          <w:rFonts w:ascii="Montserrat" w:eastAsia="Times New Roman" w:hAnsi="Montserrat" w:cs="Arial"/>
        </w:rPr>
      </w:pPr>
    </w:p>
    <w:p w14:paraId="64A8898E"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La Constitución Política de los Estados Unidos Mexicanos.</w:t>
      </w:r>
    </w:p>
    <w:p w14:paraId="30B2085E"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Constitución Política del Estado Libre y Soberano de Oaxaca.</w:t>
      </w:r>
    </w:p>
    <w:p w14:paraId="38F7DAB0"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Orgánica del Poder Ejecutivo del Estado de Oaxaca</w:t>
      </w:r>
    </w:p>
    <w:p w14:paraId="178D51EE"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Estatal de Presupuesto y Responsabilidad Hacendaria</w:t>
      </w:r>
    </w:p>
    <w:p w14:paraId="238CCF96"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General de Contabilidad Gubernamental.</w:t>
      </w:r>
    </w:p>
    <w:p w14:paraId="6C0462D7"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de Responsabilidades Administrativas del Estado y Municipios de Oaxaca.</w:t>
      </w:r>
    </w:p>
    <w:p w14:paraId="7F50B887"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Estatal de Hacienda</w:t>
      </w:r>
    </w:p>
    <w:p w14:paraId="56C41EEF"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de Coordinación Fiscal para el Estado de Oaxaca</w:t>
      </w:r>
    </w:p>
    <w:p w14:paraId="3CE39576"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de Deuda Pública para el Estado de Oaxaca</w:t>
      </w:r>
    </w:p>
    <w:p w14:paraId="01E99328"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de Transparencia y Acceso a la Información Pública para el Estado de Oaxaca</w:t>
      </w:r>
    </w:p>
    <w:p w14:paraId="78BF1D5A" w14:textId="5FA16BA1"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de Ingresos del Estado de Oaxaca para el periodo 202</w:t>
      </w:r>
      <w:r w:rsidR="00772A80" w:rsidRPr="00726BD5">
        <w:rPr>
          <w:rFonts w:ascii="Montserrat" w:eastAsia="Times New Roman" w:hAnsi="Montserrat" w:cs="Arial"/>
          <w:sz w:val="24"/>
          <w:szCs w:val="24"/>
        </w:rPr>
        <w:t>4</w:t>
      </w:r>
    </w:p>
    <w:p w14:paraId="56D5EBE6" w14:textId="0C20D48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Presupuestos de Egresos del Estado de Oaxaca para el periodo 202</w:t>
      </w:r>
      <w:r w:rsidR="00772A80" w:rsidRPr="00726BD5">
        <w:rPr>
          <w:rFonts w:ascii="Montserrat" w:eastAsia="Times New Roman" w:hAnsi="Montserrat" w:cs="Arial"/>
          <w:sz w:val="24"/>
          <w:szCs w:val="24"/>
        </w:rPr>
        <w:t>4</w:t>
      </w:r>
      <w:r w:rsidRPr="00726BD5">
        <w:rPr>
          <w:rFonts w:ascii="Montserrat" w:eastAsia="Times New Roman" w:hAnsi="Montserrat" w:cs="Arial"/>
          <w:sz w:val="24"/>
          <w:szCs w:val="24"/>
        </w:rPr>
        <w:t xml:space="preserve"> </w:t>
      </w:r>
    </w:p>
    <w:p w14:paraId="67C7BE2E"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Entre otras.</w:t>
      </w:r>
    </w:p>
    <w:p w14:paraId="74D7CC90" w14:textId="77777777" w:rsidR="00B0059B" w:rsidRPr="00726BD5" w:rsidRDefault="00B0059B" w:rsidP="00B0059B">
      <w:pPr>
        <w:pStyle w:val="Prrafodelista"/>
        <w:tabs>
          <w:tab w:val="left" w:pos="7260"/>
        </w:tabs>
        <w:jc w:val="both"/>
        <w:rPr>
          <w:rFonts w:ascii="Montserrat" w:eastAsia="Times New Roman" w:hAnsi="Montserrat" w:cs="Arial"/>
          <w:sz w:val="24"/>
          <w:szCs w:val="24"/>
        </w:rPr>
      </w:pPr>
    </w:p>
    <w:p w14:paraId="15CFB90F" w14:textId="77777777" w:rsidR="00B0059B" w:rsidRPr="00726BD5"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Consideraciones fiscales</w:t>
      </w:r>
    </w:p>
    <w:p w14:paraId="5CFB3AF5"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Poder Ejecutivo es un organismo de la Administración Pública. Las obligaciones fiscales de la administración Pública centralizada del estado son las siguientes:</w:t>
      </w:r>
    </w:p>
    <w:p w14:paraId="2D119FEC" w14:textId="77777777" w:rsidR="00B0059B" w:rsidRPr="00726BD5" w:rsidRDefault="00B0059B" w:rsidP="00B0059B">
      <w:pPr>
        <w:tabs>
          <w:tab w:val="left" w:pos="7260"/>
        </w:tabs>
        <w:jc w:val="both"/>
        <w:rPr>
          <w:rFonts w:ascii="Montserrat" w:eastAsia="Times New Roman" w:hAnsi="Montserrat" w:cs="Arial"/>
        </w:rPr>
      </w:pPr>
    </w:p>
    <w:p w14:paraId="2854BEBC" w14:textId="77777777" w:rsidR="00B0059B" w:rsidRPr="00726BD5"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Declaración mensual de las personas físicas con actividades empresariales y profesionales.</w:t>
      </w:r>
    </w:p>
    <w:p w14:paraId="5625F1E9" w14:textId="77777777" w:rsidR="00B0059B" w:rsidRPr="00726BD5"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Declaración anual de Impuesto Sobre la Renta (ISR) donde informe de las retenciones efectuadas por pagos de Rentas de Bienes Inmuebles.</w:t>
      </w:r>
    </w:p>
    <w:p w14:paraId="08BE59A8" w14:textId="77777777" w:rsidR="00B0059B" w:rsidRPr="00726BD5"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lastRenderedPageBreak/>
        <w:t>Declaración anual donde se informe sobre las retenciones de los trabajadores que recibieron Sueldos y Salarios y Trabajadores asimilables a salarios.</w:t>
      </w:r>
    </w:p>
    <w:p w14:paraId="098225A0" w14:textId="77777777" w:rsidR="00B0059B" w:rsidRPr="00726BD5"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Presentar la Declaración Informativa Semestral por la Recaudación del Impuesto Especial de Producción y Servicios (IEPS) por la Venta Final de Gasolinas y Diesel,</w:t>
      </w:r>
    </w:p>
    <w:p w14:paraId="60EA2950" w14:textId="77777777" w:rsidR="00B0059B" w:rsidRPr="00726BD5"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Presentar la Declaración Informativa Anual de Subsidios para el Empleo.</w:t>
      </w:r>
    </w:p>
    <w:p w14:paraId="123FD920" w14:textId="77777777" w:rsidR="00B0059B" w:rsidRPr="00726BD5"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Presentar la Declaración Informativa Mensual de Operaciones con Terceros. </w:t>
      </w:r>
    </w:p>
    <w:p w14:paraId="36796C27" w14:textId="77777777" w:rsidR="00B0059B" w:rsidRPr="00726BD5"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Presentar la información del aviso para la aplicación de estímulos a entidades federativas, municipios y otros organismos públicos.</w:t>
      </w:r>
    </w:p>
    <w:p w14:paraId="6B36F19A" w14:textId="77777777" w:rsidR="00B0059B" w:rsidRPr="00726BD5" w:rsidRDefault="00B0059B" w:rsidP="00B0059B">
      <w:pPr>
        <w:pStyle w:val="Prrafodelista"/>
        <w:widowControl w:val="0"/>
        <w:jc w:val="both"/>
        <w:rPr>
          <w:rFonts w:ascii="Montserrat" w:eastAsia="Times New Roman" w:hAnsi="Montserrat" w:cs="Arial"/>
          <w:sz w:val="24"/>
          <w:szCs w:val="24"/>
          <w:lang w:val="es-ES" w:eastAsia="es-MX"/>
        </w:rPr>
      </w:pPr>
    </w:p>
    <w:p w14:paraId="35DF8E31" w14:textId="77777777" w:rsidR="00B0059B" w:rsidRPr="00726BD5"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Estructura Organizacional Básica.</w:t>
      </w:r>
    </w:p>
    <w:p w14:paraId="5C5EC158"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Poder Ejecutivo para el despacho de los asuntos de su competencia cuenta con las dependencias de la Administración Pública Centralizada y Entidades de la Administración Pública Paraestatal, con las atribuciones y organización que determinan las disposiciones legales aplicables. Basada en la Ley Orgánica del Poder Ejecutivo del Estado de Oaxaca, la Secretaría de Finanzas del Poder Ejecutivo del Estado de Oaxaca es la responsable de: coordinar la administración tributaria de la Hacienda Pública; la administración financiera, incluyendo la consolidación y emisión de los Estados Financieros; proyectar con la participación de las dependencias y entidades de la administración pública estatal, la programación y presupuestación del Estado, conforme a la legislación y disposiciones aplicables.</w:t>
      </w:r>
    </w:p>
    <w:p w14:paraId="3A2C3B1D" w14:textId="77777777" w:rsidR="00B0059B" w:rsidRPr="00726BD5" w:rsidRDefault="00B0059B" w:rsidP="00B0059B">
      <w:pPr>
        <w:tabs>
          <w:tab w:val="left" w:pos="7260"/>
        </w:tabs>
        <w:jc w:val="both"/>
        <w:rPr>
          <w:rFonts w:ascii="Montserrat" w:eastAsia="Times New Roman" w:hAnsi="Montserrat" w:cs="Arial"/>
        </w:rPr>
      </w:pPr>
    </w:p>
    <w:p w14:paraId="4DE4A1D3"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La Ley Orgánica del Poder Ejecutivo del Estado de Oaxaca, establece la estructura de la Administración Pública Estatal Centralizada y Paraestatal la cual establece las bases de su organización y funcionamiento, así como las competencias y funciones de cada una de las Dependencias, Organismos Públicos Descentralizados, Fideicomisos Públicos y demás órganos de carácter público que funcionan en el Estado de Oaxaca.</w:t>
      </w:r>
    </w:p>
    <w:p w14:paraId="5720F0C5" w14:textId="77777777" w:rsidR="00B0059B" w:rsidRPr="00726BD5" w:rsidRDefault="00B0059B" w:rsidP="00B0059B">
      <w:pPr>
        <w:tabs>
          <w:tab w:val="left" w:pos="7260"/>
        </w:tabs>
        <w:jc w:val="both"/>
        <w:rPr>
          <w:rFonts w:ascii="Montserrat" w:eastAsia="Times New Roman" w:hAnsi="Montserrat" w:cs="Arial"/>
        </w:rPr>
      </w:pPr>
    </w:p>
    <w:p w14:paraId="25C19C98" w14:textId="77777777" w:rsidR="00B0059B" w:rsidRPr="00726BD5" w:rsidRDefault="00B0059B" w:rsidP="002D361E">
      <w:pPr>
        <w:keepNext/>
        <w:tabs>
          <w:tab w:val="left" w:pos="7260"/>
        </w:tabs>
        <w:jc w:val="both"/>
        <w:rPr>
          <w:rFonts w:ascii="Montserrat" w:eastAsia="Times New Roman" w:hAnsi="Montserrat" w:cs="Arial"/>
        </w:rPr>
      </w:pPr>
      <w:r w:rsidRPr="00726BD5">
        <w:rPr>
          <w:rFonts w:ascii="Montserrat" w:eastAsia="Times New Roman" w:hAnsi="Montserrat" w:cs="Arial"/>
        </w:rPr>
        <w:lastRenderedPageBreak/>
        <w:t>Administración Pública Centralizada</w:t>
      </w:r>
    </w:p>
    <w:p w14:paraId="0FA143B2" w14:textId="77777777" w:rsidR="00B0059B" w:rsidRPr="00726BD5" w:rsidRDefault="00B0059B" w:rsidP="002D361E">
      <w:pPr>
        <w:keepNext/>
        <w:tabs>
          <w:tab w:val="left" w:pos="7260"/>
        </w:tabs>
        <w:jc w:val="both"/>
        <w:rPr>
          <w:rFonts w:ascii="Montserrat" w:eastAsia="Times New Roman" w:hAnsi="Montserrat" w:cs="Arial"/>
        </w:rPr>
      </w:pPr>
    </w:p>
    <w:p w14:paraId="38AEBA4A"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En los términos de los artículos 3, 26, 27 y 33 de la Ley Orgánica del Poder Ejecutivo del Estado de Oaxaca el titular del Poder Ejecutivo cuenta con las siguientes dependencias y organismos auxiliares:</w:t>
      </w:r>
    </w:p>
    <w:p w14:paraId="222D6C52" w14:textId="77777777" w:rsidR="00B0059B" w:rsidRPr="00726BD5" w:rsidRDefault="00B0059B" w:rsidP="00B0059B">
      <w:pPr>
        <w:tabs>
          <w:tab w:val="left" w:pos="7260"/>
        </w:tabs>
        <w:jc w:val="both"/>
        <w:rPr>
          <w:rFonts w:ascii="Montserrat" w:eastAsia="Times New Roman" w:hAnsi="Montserrat" w:cs="Arial"/>
        </w:rPr>
      </w:pPr>
    </w:p>
    <w:p w14:paraId="43A14B8C"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Gubernatura</w:t>
      </w:r>
    </w:p>
    <w:p w14:paraId="1DDC17D2"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Secretaría de Gobierno</w:t>
      </w:r>
    </w:p>
    <w:p w14:paraId="1F8AA497"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Secretaría de Seguridad Pública y Protección Ciudadana </w:t>
      </w:r>
    </w:p>
    <w:p w14:paraId="24D8EB68"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Secretaría de Infraestructuras y Comunicaciones </w:t>
      </w:r>
    </w:p>
    <w:p w14:paraId="30CBB140"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Secretaría del Trabajo</w:t>
      </w:r>
    </w:p>
    <w:p w14:paraId="115BAE22"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Secretaría de Movilidad</w:t>
      </w:r>
    </w:p>
    <w:p w14:paraId="05340594"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Secretaría de las Culturas y Artes </w:t>
      </w:r>
    </w:p>
    <w:p w14:paraId="37C6AD39"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Secretaría de Bienestar, Tequio e Inclusión </w:t>
      </w:r>
    </w:p>
    <w:p w14:paraId="5BF02EDC" w14:textId="77777777" w:rsidR="00B0059B" w:rsidRPr="00726BD5" w:rsidRDefault="00B0059B" w:rsidP="00031666">
      <w:pPr>
        <w:pStyle w:val="Prrafodelista"/>
        <w:numPr>
          <w:ilvl w:val="0"/>
          <w:numId w:val="37"/>
        </w:numPr>
        <w:tabs>
          <w:tab w:val="left" w:pos="7260"/>
        </w:tabs>
        <w:rPr>
          <w:rFonts w:ascii="Montserrat" w:eastAsia="Times New Roman" w:hAnsi="Montserrat" w:cs="Arial"/>
          <w:sz w:val="24"/>
          <w:szCs w:val="24"/>
        </w:rPr>
      </w:pPr>
      <w:r w:rsidRPr="00726BD5">
        <w:rPr>
          <w:rFonts w:ascii="Montserrat" w:eastAsia="Times New Roman" w:hAnsi="Montserrat" w:cs="Arial"/>
          <w:sz w:val="24"/>
          <w:szCs w:val="24"/>
        </w:rPr>
        <w:t>Secretaría de Interculturalidad, Pueblos y Comunidades Indígenas y Afromexicanas</w:t>
      </w:r>
    </w:p>
    <w:p w14:paraId="28428EE1"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Secretaría de Fomento Agroalimentario y Desarrollo Rural </w:t>
      </w:r>
    </w:p>
    <w:p w14:paraId="1C70293A"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Secretaría de Finanzas</w:t>
      </w:r>
    </w:p>
    <w:p w14:paraId="15EA6798"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Secretaría de Administración</w:t>
      </w:r>
      <w:r w:rsidRPr="00726BD5">
        <w:rPr>
          <w:rFonts w:ascii="Montserrat" w:eastAsia="Times New Roman" w:hAnsi="Montserrat" w:cs="Arial"/>
          <w:sz w:val="24"/>
          <w:szCs w:val="24"/>
        </w:rPr>
        <w:tab/>
      </w:r>
    </w:p>
    <w:p w14:paraId="5C94FDAC"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Secretaría de Honestidad, Transparencia y Función Pública</w:t>
      </w:r>
      <w:r w:rsidRPr="00726BD5">
        <w:rPr>
          <w:rFonts w:ascii="Montserrat" w:eastAsia="Times New Roman" w:hAnsi="Montserrat" w:cs="Arial"/>
          <w:sz w:val="24"/>
          <w:szCs w:val="24"/>
        </w:rPr>
        <w:tab/>
      </w:r>
      <w:r w:rsidRPr="00726BD5">
        <w:rPr>
          <w:rFonts w:ascii="Montserrat" w:eastAsia="Times New Roman" w:hAnsi="Montserrat" w:cs="Arial"/>
          <w:sz w:val="24"/>
          <w:szCs w:val="24"/>
        </w:rPr>
        <w:tab/>
      </w:r>
    </w:p>
    <w:p w14:paraId="5AD485F3"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Consejería Jurídica y Asistencia Legal del Estado</w:t>
      </w:r>
      <w:r w:rsidRPr="00726BD5">
        <w:rPr>
          <w:rFonts w:ascii="Montserrat" w:eastAsia="Times New Roman" w:hAnsi="Montserrat" w:cs="Arial"/>
          <w:sz w:val="24"/>
          <w:szCs w:val="24"/>
        </w:rPr>
        <w:tab/>
      </w:r>
    </w:p>
    <w:p w14:paraId="2623ACA5"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Coordinación de Comunicación Social</w:t>
      </w:r>
      <w:r w:rsidRPr="00726BD5">
        <w:rPr>
          <w:rFonts w:ascii="Montserrat" w:eastAsia="Times New Roman" w:hAnsi="Montserrat" w:cs="Arial"/>
          <w:sz w:val="24"/>
          <w:szCs w:val="24"/>
        </w:rPr>
        <w:tab/>
      </w:r>
    </w:p>
    <w:p w14:paraId="41A308F6"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Coordinación para la Atención de los Derechos Humanos</w:t>
      </w:r>
      <w:r w:rsidRPr="00726BD5">
        <w:rPr>
          <w:rFonts w:ascii="Montserrat" w:eastAsia="Times New Roman" w:hAnsi="Montserrat" w:cs="Arial"/>
          <w:sz w:val="24"/>
          <w:szCs w:val="24"/>
        </w:rPr>
        <w:tab/>
      </w:r>
    </w:p>
    <w:p w14:paraId="269BA919"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Instituto de Planeación para el Bienestar</w:t>
      </w:r>
      <w:r w:rsidRPr="00726BD5">
        <w:rPr>
          <w:rFonts w:ascii="Montserrat" w:eastAsia="Times New Roman" w:hAnsi="Montserrat" w:cs="Arial"/>
          <w:sz w:val="24"/>
          <w:szCs w:val="24"/>
        </w:rPr>
        <w:tab/>
      </w:r>
    </w:p>
    <w:p w14:paraId="3CB2F4DB"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Secretariado Ejecutivo del Sistema Estatal de Seguridad Pública</w:t>
      </w:r>
      <w:r w:rsidRPr="00726BD5">
        <w:rPr>
          <w:rFonts w:ascii="Montserrat" w:eastAsia="Times New Roman" w:hAnsi="Montserrat" w:cs="Arial"/>
          <w:sz w:val="24"/>
          <w:szCs w:val="24"/>
        </w:rPr>
        <w:tab/>
      </w:r>
    </w:p>
    <w:p w14:paraId="3868480E"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Secretaría de Desarrollo Económico</w:t>
      </w:r>
    </w:p>
    <w:p w14:paraId="13A11A67"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Secretaría de Turismo </w:t>
      </w:r>
    </w:p>
    <w:p w14:paraId="267EA8AD"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Secretaría de las Mujeres </w:t>
      </w:r>
    </w:p>
    <w:p w14:paraId="6419C4B8"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Secretaría del Medio Ambiente, Biodiversidad, Energías y Sostenibilidad</w:t>
      </w:r>
    </w:p>
    <w:p w14:paraId="4B9CB8CF"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Secretaria de Educación Pública</w:t>
      </w:r>
    </w:p>
    <w:p w14:paraId="566AC19A"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Así mismo, el Poder Ejecutivo, con base en el Artículo 3, fracción II y III, de la Ley Orgánica del Poder Ejecutivo del Estado de Oaxaca cuenta Administración Pública Descentralizada y los Órganos Auxiliares, definidos como institutos públicos creados mediante decreto del H. Congreso del Estado, con personalidad jurídica y patrimonio propio, cualquiera que sea la denominación, estructura y forma de organización que adopten, por lo tanto, su información financiera, presupuestal y contable, incluyendo las </w:t>
      </w:r>
      <w:r w:rsidRPr="00726BD5">
        <w:rPr>
          <w:rFonts w:ascii="Montserrat" w:eastAsia="Times New Roman" w:hAnsi="Montserrat" w:cs="Arial"/>
        </w:rPr>
        <w:lastRenderedPageBreak/>
        <w:t>Notas a los Estados Financieros se presentan en el Tomo V Sector Paraestatal.</w:t>
      </w:r>
    </w:p>
    <w:p w14:paraId="58921A12" w14:textId="77777777" w:rsidR="00B0059B" w:rsidRPr="00726BD5" w:rsidRDefault="00B0059B" w:rsidP="00B0059B">
      <w:pPr>
        <w:autoSpaceDE w:val="0"/>
        <w:autoSpaceDN w:val="0"/>
        <w:adjustRightInd w:val="0"/>
        <w:jc w:val="both"/>
        <w:rPr>
          <w:rFonts w:ascii="Montserrat" w:hAnsi="Montserrat"/>
        </w:rPr>
      </w:pPr>
    </w:p>
    <w:p w14:paraId="77FEF84E" w14:textId="1F66EF10" w:rsidR="00B0059B" w:rsidRPr="00726BD5" w:rsidRDefault="00B0059B" w:rsidP="00B0059B">
      <w:pPr>
        <w:autoSpaceDE w:val="0"/>
        <w:autoSpaceDN w:val="0"/>
        <w:adjustRightInd w:val="0"/>
        <w:jc w:val="both"/>
        <w:rPr>
          <w:rFonts w:ascii="Montserrat" w:eastAsia="Times New Roman" w:hAnsi="Montserrat" w:cs="Arial"/>
        </w:rPr>
      </w:pPr>
      <w:r w:rsidRPr="00726BD5">
        <w:rPr>
          <w:rFonts w:ascii="Montserrat" w:eastAsia="Times New Roman" w:hAnsi="Montserrat" w:cs="Arial"/>
        </w:rPr>
        <w:t xml:space="preserve">Es importante mencionar que en lo que va de la presente administración se han extinguido </w:t>
      </w:r>
      <w:r w:rsidR="00AF7183" w:rsidRPr="00726BD5">
        <w:rPr>
          <w:rFonts w:ascii="Montserrat" w:eastAsia="Times New Roman" w:hAnsi="Montserrat" w:cs="Arial"/>
        </w:rPr>
        <w:t>quince</w:t>
      </w:r>
      <w:r w:rsidRPr="00726BD5">
        <w:rPr>
          <w:rFonts w:ascii="Montserrat" w:eastAsia="Times New Roman" w:hAnsi="Montserrat" w:cs="Arial"/>
        </w:rPr>
        <w:t xml:space="preserve"> entes públicos, dos pertenecientes a la Administración Pública Centralizada, </w:t>
      </w:r>
      <w:r w:rsidR="002B1DFE" w:rsidRPr="00726BD5">
        <w:rPr>
          <w:rFonts w:ascii="Montserrat" w:eastAsia="Times New Roman" w:hAnsi="Montserrat" w:cs="Arial"/>
        </w:rPr>
        <w:t>once</w:t>
      </w:r>
      <w:r w:rsidRPr="00726BD5">
        <w:rPr>
          <w:rFonts w:ascii="Montserrat" w:eastAsia="Times New Roman" w:hAnsi="Montserrat" w:cs="Arial"/>
        </w:rPr>
        <w:t xml:space="preserve"> a la Administración Pública Descentralizada, uno a los Órganos Auxiliares y uno más a los Órganos Autónomos de los cuales diez fueron absorbidos por dependencias del Sector Central y uno se transformó parte de la Administración Pública Descentralizada</w:t>
      </w:r>
      <w:r w:rsidR="00D55BB4" w:rsidRPr="00726BD5">
        <w:rPr>
          <w:rFonts w:ascii="Montserrat" w:eastAsia="Times New Roman" w:hAnsi="Montserrat" w:cs="Arial"/>
        </w:rPr>
        <w:t xml:space="preserve">; </w:t>
      </w:r>
      <w:r w:rsidRPr="00726BD5">
        <w:rPr>
          <w:rFonts w:ascii="Montserrat" w:eastAsia="Times New Roman" w:hAnsi="Montserrat" w:cs="Arial"/>
        </w:rPr>
        <w:t>de acuerdo con el siguiente cuadro:</w:t>
      </w:r>
    </w:p>
    <w:p w14:paraId="365468E9" w14:textId="77777777" w:rsidR="00362B39" w:rsidRPr="00726BD5" w:rsidRDefault="00362B39" w:rsidP="00B0059B">
      <w:pPr>
        <w:autoSpaceDE w:val="0"/>
        <w:autoSpaceDN w:val="0"/>
        <w:adjustRightInd w:val="0"/>
        <w:jc w:val="both"/>
        <w:rPr>
          <w:rFonts w:ascii="Montserrat" w:eastAsia="Times New Roman" w:hAnsi="Montserrat" w:cs="Arial"/>
        </w:rPr>
      </w:pPr>
    </w:p>
    <w:tbl>
      <w:tblPr>
        <w:tblW w:w="90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0"/>
        <w:gridCol w:w="4830"/>
      </w:tblGrid>
      <w:tr w:rsidR="00FD2DE6" w:rsidRPr="00726BD5" w14:paraId="22225815" w14:textId="77777777" w:rsidTr="001536E6">
        <w:trPr>
          <w:trHeight w:val="309"/>
          <w:tblHeader/>
        </w:trPr>
        <w:tc>
          <w:tcPr>
            <w:tcW w:w="4210" w:type="dxa"/>
            <w:shd w:val="clear" w:color="auto" w:fill="auto"/>
            <w:vAlign w:val="center"/>
            <w:hideMark/>
          </w:tcPr>
          <w:p w14:paraId="2F51C888" w14:textId="77777777" w:rsidR="00362B39" w:rsidRPr="00726BD5" w:rsidRDefault="00362B39" w:rsidP="00362B39">
            <w:pPr>
              <w:jc w:val="center"/>
              <w:rPr>
                <w:rFonts w:ascii="Montserrat" w:eastAsia="Times New Roman" w:hAnsi="Montserrat" w:cs="Times New Roman"/>
                <w:lang w:val="es-MX"/>
              </w:rPr>
            </w:pPr>
            <w:r w:rsidRPr="00726BD5">
              <w:rPr>
                <w:rFonts w:ascii="Montserrat" w:eastAsia="Times New Roman" w:hAnsi="Montserrat" w:cs="Times New Roman"/>
              </w:rPr>
              <w:t>Ente extinto</w:t>
            </w:r>
          </w:p>
        </w:tc>
        <w:tc>
          <w:tcPr>
            <w:tcW w:w="4830" w:type="dxa"/>
            <w:shd w:val="clear" w:color="auto" w:fill="auto"/>
            <w:vAlign w:val="center"/>
            <w:hideMark/>
          </w:tcPr>
          <w:p w14:paraId="6F86D18F" w14:textId="77777777" w:rsidR="00362B39" w:rsidRPr="00726BD5" w:rsidRDefault="00362B39" w:rsidP="00362B39">
            <w:pPr>
              <w:jc w:val="center"/>
              <w:rPr>
                <w:rFonts w:ascii="Montserrat" w:eastAsia="Times New Roman" w:hAnsi="Montserrat" w:cs="Times New Roman"/>
                <w:lang w:val="es-MX"/>
              </w:rPr>
            </w:pPr>
            <w:r w:rsidRPr="00726BD5">
              <w:rPr>
                <w:rFonts w:ascii="Montserrat" w:eastAsia="Times New Roman" w:hAnsi="Montserrat" w:cs="Times New Roman"/>
              </w:rPr>
              <w:t xml:space="preserve">Dependencia </w:t>
            </w:r>
            <w:proofErr w:type="spellStart"/>
            <w:r w:rsidRPr="00726BD5">
              <w:rPr>
                <w:rFonts w:ascii="Montserrat" w:eastAsia="Times New Roman" w:hAnsi="Montserrat" w:cs="Times New Roman"/>
              </w:rPr>
              <w:t>fusionante</w:t>
            </w:r>
            <w:proofErr w:type="spellEnd"/>
          </w:p>
        </w:tc>
      </w:tr>
      <w:tr w:rsidR="00FD2DE6" w:rsidRPr="00726BD5" w14:paraId="228876D5" w14:textId="77777777" w:rsidTr="001536E6">
        <w:trPr>
          <w:trHeight w:val="475"/>
        </w:trPr>
        <w:tc>
          <w:tcPr>
            <w:tcW w:w="4210" w:type="dxa"/>
            <w:shd w:val="clear" w:color="auto" w:fill="auto"/>
            <w:vAlign w:val="center"/>
            <w:hideMark/>
          </w:tcPr>
          <w:p w14:paraId="1A99DE4B" w14:textId="77777777" w:rsidR="00362B39" w:rsidRPr="00726BD5" w:rsidRDefault="00362B39" w:rsidP="00362B39">
            <w:pPr>
              <w:rPr>
                <w:rFonts w:ascii="Montserrat" w:eastAsia="Times New Roman" w:hAnsi="Montserrat" w:cs="Times New Roman"/>
                <w:lang w:val="es-MX"/>
              </w:rPr>
            </w:pPr>
            <w:r w:rsidRPr="00726BD5">
              <w:rPr>
                <w:rFonts w:ascii="Montserrat" w:eastAsia="Times New Roman" w:hAnsi="Montserrat" w:cs="Times New Roman"/>
              </w:rPr>
              <w:t>Coordinación General de Unidades y Caravanas Móviles de Servicios Gratuitos</w:t>
            </w:r>
          </w:p>
        </w:tc>
        <w:tc>
          <w:tcPr>
            <w:tcW w:w="4830" w:type="dxa"/>
            <w:shd w:val="clear" w:color="auto" w:fill="auto"/>
            <w:vAlign w:val="center"/>
            <w:hideMark/>
          </w:tcPr>
          <w:p w14:paraId="1BF1B3B9" w14:textId="77777777" w:rsidR="00362B39" w:rsidRPr="00726BD5" w:rsidRDefault="00362B39" w:rsidP="00362B39">
            <w:pPr>
              <w:rPr>
                <w:rFonts w:ascii="Montserrat" w:eastAsia="Times New Roman" w:hAnsi="Montserrat" w:cs="Times New Roman"/>
                <w:lang w:val="es-MX"/>
              </w:rPr>
            </w:pPr>
            <w:r w:rsidRPr="00726BD5">
              <w:rPr>
                <w:rFonts w:ascii="Montserrat" w:eastAsia="Times New Roman" w:hAnsi="Montserrat" w:cs="Times New Roman"/>
              </w:rPr>
              <w:t xml:space="preserve">Secretaría de Bienestar, Tequio e Inclusión </w:t>
            </w:r>
          </w:p>
        </w:tc>
      </w:tr>
      <w:tr w:rsidR="00036380" w:rsidRPr="00726BD5" w14:paraId="34FA5E89" w14:textId="77777777" w:rsidTr="001536E6">
        <w:trPr>
          <w:trHeight w:val="242"/>
        </w:trPr>
        <w:tc>
          <w:tcPr>
            <w:tcW w:w="4210" w:type="dxa"/>
            <w:shd w:val="clear" w:color="auto" w:fill="auto"/>
            <w:vAlign w:val="center"/>
            <w:hideMark/>
          </w:tcPr>
          <w:p w14:paraId="68438CD0" w14:textId="77777777" w:rsidR="00036380" w:rsidRPr="00726BD5" w:rsidRDefault="00036380" w:rsidP="00362B39">
            <w:pPr>
              <w:rPr>
                <w:rFonts w:ascii="Montserrat" w:eastAsia="Times New Roman" w:hAnsi="Montserrat" w:cs="Times New Roman"/>
                <w:lang w:val="es-MX"/>
              </w:rPr>
            </w:pPr>
            <w:r w:rsidRPr="00726BD5">
              <w:rPr>
                <w:rFonts w:ascii="Montserrat" w:eastAsia="Times New Roman" w:hAnsi="Montserrat" w:cs="Times New Roman"/>
              </w:rPr>
              <w:t>Coordinación General de Enlace Federal</w:t>
            </w:r>
          </w:p>
        </w:tc>
        <w:tc>
          <w:tcPr>
            <w:tcW w:w="4830" w:type="dxa"/>
            <w:vMerge w:val="restart"/>
            <w:shd w:val="clear" w:color="auto" w:fill="auto"/>
            <w:vAlign w:val="center"/>
            <w:hideMark/>
          </w:tcPr>
          <w:p w14:paraId="027DF3B0" w14:textId="77777777" w:rsidR="00036380" w:rsidRPr="00726BD5" w:rsidRDefault="00036380" w:rsidP="00362B39">
            <w:pPr>
              <w:rPr>
                <w:rFonts w:ascii="Montserrat" w:eastAsia="Times New Roman" w:hAnsi="Montserrat" w:cs="Times New Roman"/>
                <w:lang w:val="es-MX"/>
              </w:rPr>
            </w:pPr>
            <w:r w:rsidRPr="00726BD5">
              <w:rPr>
                <w:rFonts w:ascii="Montserrat" w:eastAsia="Times New Roman" w:hAnsi="Montserrat" w:cs="Times New Roman"/>
              </w:rPr>
              <w:t>Secretaría de Gobierno</w:t>
            </w:r>
          </w:p>
        </w:tc>
      </w:tr>
      <w:tr w:rsidR="00036380" w:rsidRPr="00726BD5" w14:paraId="093D0AD7" w14:textId="77777777" w:rsidTr="001536E6">
        <w:trPr>
          <w:trHeight w:val="242"/>
        </w:trPr>
        <w:tc>
          <w:tcPr>
            <w:tcW w:w="4210" w:type="dxa"/>
            <w:shd w:val="clear" w:color="auto" w:fill="auto"/>
            <w:vAlign w:val="center"/>
          </w:tcPr>
          <w:p w14:paraId="0A0B67B5" w14:textId="346422B1" w:rsidR="00036380" w:rsidRPr="00726BD5" w:rsidRDefault="00036380" w:rsidP="00036380">
            <w:pPr>
              <w:rPr>
                <w:rFonts w:ascii="Montserrat" w:eastAsia="Times New Roman" w:hAnsi="Montserrat" w:cs="Times New Roman"/>
              </w:rPr>
            </w:pPr>
            <w:r w:rsidRPr="00726BD5">
              <w:rPr>
                <w:rFonts w:ascii="Montserrat" w:eastAsia="Times New Roman" w:hAnsi="Montserrat" w:cs="Times New Roman"/>
              </w:rPr>
              <w:t>Dirección General de Población</w:t>
            </w:r>
          </w:p>
        </w:tc>
        <w:tc>
          <w:tcPr>
            <w:tcW w:w="4830" w:type="dxa"/>
            <w:vMerge/>
            <w:shd w:val="clear" w:color="auto" w:fill="auto"/>
            <w:vAlign w:val="center"/>
          </w:tcPr>
          <w:p w14:paraId="729640B3" w14:textId="77777777" w:rsidR="00036380" w:rsidRPr="00726BD5" w:rsidRDefault="00036380" w:rsidP="00036380">
            <w:pPr>
              <w:rPr>
                <w:rFonts w:ascii="Montserrat" w:eastAsia="Times New Roman" w:hAnsi="Montserrat" w:cs="Times New Roman"/>
              </w:rPr>
            </w:pPr>
          </w:p>
        </w:tc>
      </w:tr>
      <w:tr w:rsidR="00036380" w:rsidRPr="00726BD5" w14:paraId="2C068858" w14:textId="77777777" w:rsidTr="001536E6">
        <w:trPr>
          <w:trHeight w:val="242"/>
        </w:trPr>
        <w:tc>
          <w:tcPr>
            <w:tcW w:w="4210" w:type="dxa"/>
            <w:shd w:val="clear" w:color="auto" w:fill="auto"/>
            <w:vAlign w:val="center"/>
          </w:tcPr>
          <w:p w14:paraId="55E906EF" w14:textId="0093AF5B" w:rsidR="00036380" w:rsidRPr="00726BD5" w:rsidRDefault="00036380" w:rsidP="00036380">
            <w:pPr>
              <w:rPr>
                <w:rFonts w:ascii="Montserrat" w:eastAsia="Times New Roman" w:hAnsi="Montserrat" w:cs="Times New Roman"/>
              </w:rPr>
            </w:pPr>
            <w:r w:rsidRPr="00726BD5">
              <w:rPr>
                <w:rFonts w:ascii="Montserrat" w:eastAsia="Times New Roman" w:hAnsi="Montserrat" w:cs="Times New Roman"/>
              </w:rPr>
              <w:t>Instituto de Atención Integral al Migrante Oaxaqueño</w:t>
            </w:r>
          </w:p>
        </w:tc>
        <w:tc>
          <w:tcPr>
            <w:tcW w:w="4830" w:type="dxa"/>
            <w:vMerge/>
            <w:shd w:val="clear" w:color="auto" w:fill="auto"/>
            <w:vAlign w:val="center"/>
          </w:tcPr>
          <w:p w14:paraId="67BBD5D0" w14:textId="77777777" w:rsidR="00036380" w:rsidRPr="00726BD5" w:rsidRDefault="00036380" w:rsidP="00036380">
            <w:pPr>
              <w:rPr>
                <w:rFonts w:ascii="Montserrat" w:eastAsia="Times New Roman" w:hAnsi="Montserrat" w:cs="Times New Roman"/>
              </w:rPr>
            </w:pPr>
          </w:p>
        </w:tc>
      </w:tr>
      <w:tr w:rsidR="00036380" w:rsidRPr="00726BD5" w14:paraId="2BE9831F" w14:textId="77777777" w:rsidTr="001536E6">
        <w:trPr>
          <w:trHeight w:val="475"/>
        </w:trPr>
        <w:tc>
          <w:tcPr>
            <w:tcW w:w="4210" w:type="dxa"/>
            <w:shd w:val="clear" w:color="auto" w:fill="auto"/>
            <w:vAlign w:val="center"/>
            <w:hideMark/>
          </w:tcPr>
          <w:p w14:paraId="04097F13"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Coordinación General de Relaciones Internacionales</w:t>
            </w:r>
          </w:p>
        </w:tc>
        <w:tc>
          <w:tcPr>
            <w:tcW w:w="4830" w:type="dxa"/>
            <w:shd w:val="clear" w:color="auto" w:fill="auto"/>
            <w:vAlign w:val="center"/>
            <w:hideMark/>
          </w:tcPr>
          <w:p w14:paraId="7B5CA316"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Ninguna</w:t>
            </w:r>
          </w:p>
        </w:tc>
      </w:tr>
      <w:tr w:rsidR="00036380" w:rsidRPr="00726BD5" w14:paraId="73B25F27" w14:textId="77777777" w:rsidTr="001536E6">
        <w:trPr>
          <w:trHeight w:val="475"/>
        </w:trPr>
        <w:tc>
          <w:tcPr>
            <w:tcW w:w="4210" w:type="dxa"/>
            <w:shd w:val="clear" w:color="auto" w:fill="auto"/>
            <w:vAlign w:val="center"/>
            <w:hideMark/>
          </w:tcPr>
          <w:p w14:paraId="3858071E"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Oficina de Convenciones y Visitantes de Oaxaca “OCV Oaxaca”</w:t>
            </w:r>
          </w:p>
        </w:tc>
        <w:tc>
          <w:tcPr>
            <w:tcW w:w="4830" w:type="dxa"/>
            <w:shd w:val="clear" w:color="auto" w:fill="auto"/>
            <w:vAlign w:val="center"/>
            <w:hideMark/>
          </w:tcPr>
          <w:p w14:paraId="2415CEFC"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Secretaría de Administración</w:t>
            </w:r>
          </w:p>
        </w:tc>
      </w:tr>
      <w:tr w:rsidR="00036380" w:rsidRPr="00726BD5" w14:paraId="59788B65" w14:textId="77777777" w:rsidTr="001536E6">
        <w:trPr>
          <w:trHeight w:val="475"/>
        </w:trPr>
        <w:tc>
          <w:tcPr>
            <w:tcW w:w="4210" w:type="dxa"/>
            <w:shd w:val="clear" w:color="auto" w:fill="auto"/>
            <w:vAlign w:val="center"/>
            <w:hideMark/>
          </w:tcPr>
          <w:p w14:paraId="4B26D04A"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Instituto Oaxaqueño de Emprendedor y de la Competitividad</w:t>
            </w:r>
          </w:p>
        </w:tc>
        <w:tc>
          <w:tcPr>
            <w:tcW w:w="4830" w:type="dxa"/>
            <w:vMerge w:val="restart"/>
            <w:shd w:val="clear" w:color="auto" w:fill="auto"/>
            <w:vAlign w:val="center"/>
            <w:hideMark/>
          </w:tcPr>
          <w:p w14:paraId="2B11806C"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Secretaria de Desarrollo Económico</w:t>
            </w:r>
          </w:p>
        </w:tc>
      </w:tr>
      <w:tr w:rsidR="00036380" w:rsidRPr="00726BD5" w14:paraId="05857743" w14:textId="77777777" w:rsidTr="001536E6">
        <w:trPr>
          <w:trHeight w:val="557"/>
        </w:trPr>
        <w:tc>
          <w:tcPr>
            <w:tcW w:w="4210" w:type="dxa"/>
            <w:shd w:val="clear" w:color="auto" w:fill="auto"/>
            <w:vAlign w:val="center"/>
            <w:hideMark/>
          </w:tcPr>
          <w:p w14:paraId="00888B92"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Instituto para el Fomento y la Protección de las Artesanías</w:t>
            </w:r>
          </w:p>
        </w:tc>
        <w:tc>
          <w:tcPr>
            <w:tcW w:w="4830" w:type="dxa"/>
            <w:vMerge/>
            <w:vAlign w:val="center"/>
            <w:hideMark/>
          </w:tcPr>
          <w:p w14:paraId="115F0668" w14:textId="77777777" w:rsidR="00036380" w:rsidRPr="00726BD5" w:rsidRDefault="00036380" w:rsidP="00036380">
            <w:pPr>
              <w:rPr>
                <w:rFonts w:ascii="Montserrat" w:eastAsia="Times New Roman" w:hAnsi="Montserrat" w:cs="Times New Roman"/>
                <w:lang w:val="es-MX"/>
              </w:rPr>
            </w:pPr>
          </w:p>
        </w:tc>
      </w:tr>
      <w:tr w:rsidR="00036380" w:rsidRPr="00726BD5" w14:paraId="4C60E49D" w14:textId="77777777" w:rsidTr="001536E6">
        <w:trPr>
          <w:trHeight w:val="557"/>
        </w:trPr>
        <w:tc>
          <w:tcPr>
            <w:tcW w:w="4210" w:type="dxa"/>
            <w:shd w:val="clear" w:color="auto" w:fill="auto"/>
            <w:vAlign w:val="center"/>
          </w:tcPr>
          <w:p w14:paraId="77E997A4" w14:textId="7B79569F" w:rsidR="00036380" w:rsidRPr="00726BD5" w:rsidRDefault="00036380" w:rsidP="00036380">
            <w:pPr>
              <w:rPr>
                <w:rFonts w:ascii="Montserrat" w:eastAsia="Times New Roman" w:hAnsi="Montserrat" w:cs="Times New Roman"/>
              </w:rPr>
            </w:pPr>
            <w:r w:rsidRPr="00726BD5">
              <w:rPr>
                <w:rFonts w:ascii="Montserrat" w:eastAsia="Times New Roman" w:hAnsi="Montserrat" w:cs="Times New Roman"/>
              </w:rPr>
              <w:t>Coordinación Estatal del Corredor Interoceánico del Istmo</w:t>
            </w:r>
          </w:p>
        </w:tc>
        <w:tc>
          <w:tcPr>
            <w:tcW w:w="4830" w:type="dxa"/>
            <w:vAlign w:val="center"/>
          </w:tcPr>
          <w:p w14:paraId="576B59CD" w14:textId="16EF7183"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lang w:val="es-MX"/>
              </w:rPr>
              <w:t>Gubernatura</w:t>
            </w:r>
          </w:p>
        </w:tc>
      </w:tr>
      <w:tr w:rsidR="00036380" w:rsidRPr="00726BD5" w14:paraId="39929E38" w14:textId="77777777" w:rsidTr="001536E6">
        <w:trPr>
          <w:trHeight w:val="709"/>
        </w:trPr>
        <w:tc>
          <w:tcPr>
            <w:tcW w:w="4210" w:type="dxa"/>
            <w:shd w:val="clear" w:color="auto" w:fill="auto"/>
            <w:vAlign w:val="center"/>
            <w:hideMark/>
          </w:tcPr>
          <w:p w14:paraId="6C3CFC26"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Coordinación General de Educación Media Superior y Superior, Ciencia y Tecnología</w:t>
            </w:r>
          </w:p>
        </w:tc>
        <w:tc>
          <w:tcPr>
            <w:tcW w:w="4830" w:type="dxa"/>
            <w:vMerge w:val="restart"/>
            <w:shd w:val="clear" w:color="auto" w:fill="auto"/>
            <w:vAlign w:val="center"/>
            <w:hideMark/>
          </w:tcPr>
          <w:p w14:paraId="7AA225D7"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Secretaria de Educación Pública</w:t>
            </w:r>
          </w:p>
        </w:tc>
      </w:tr>
      <w:tr w:rsidR="00036380" w:rsidRPr="00726BD5" w14:paraId="50954E06" w14:textId="77777777" w:rsidTr="001536E6">
        <w:trPr>
          <w:trHeight w:val="709"/>
        </w:trPr>
        <w:tc>
          <w:tcPr>
            <w:tcW w:w="4210" w:type="dxa"/>
            <w:shd w:val="clear" w:color="auto" w:fill="auto"/>
            <w:vAlign w:val="center"/>
            <w:hideMark/>
          </w:tcPr>
          <w:p w14:paraId="48CCA096"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Comisión Estatal para la Planeación de la Educación Superior en el Estado de Oaxaca</w:t>
            </w:r>
          </w:p>
        </w:tc>
        <w:tc>
          <w:tcPr>
            <w:tcW w:w="4830" w:type="dxa"/>
            <w:vMerge/>
            <w:vAlign w:val="center"/>
            <w:hideMark/>
          </w:tcPr>
          <w:p w14:paraId="6D3976F4" w14:textId="77777777" w:rsidR="00036380" w:rsidRPr="00726BD5" w:rsidRDefault="00036380" w:rsidP="00036380">
            <w:pPr>
              <w:rPr>
                <w:rFonts w:ascii="Montserrat" w:eastAsia="Times New Roman" w:hAnsi="Montserrat" w:cs="Times New Roman"/>
                <w:lang w:val="es-MX"/>
              </w:rPr>
            </w:pPr>
          </w:p>
        </w:tc>
      </w:tr>
      <w:tr w:rsidR="00036380" w:rsidRPr="00726BD5" w14:paraId="6D6E56E5" w14:textId="77777777" w:rsidTr="001536E6">
        <w:trPr>
          <w:trHeight w:val="709"/>
        </w:trPr>
        <w:tc>
          <w:tcPr>
            <w:tcW w:w="4210" w:type="dxa"/>
            <w:shd w:val="clear" w:color="auto" w:fill="auto"/>
            <w:vAlign w:val="center"/>
            <w:hideMark/>
          </w:tcPr>
          <w:p w14:paraId="0ADF1EDD"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lastRenderedPageBreak/>
              <w:t>Comisión Estatal para la Planeación y Programación de la Educación Media Superior en Estado de Oaxaca</w:t>
            </w:r>
          </w:p>
        </w:tc>
        <w:tc>
          <w:tcPr>
            <w:tcW w:w="4830" w:type="dxa"/>
            <w:vMerge/>
            <w:vAlign w:val="center"/>
            <w:hideMark/>
          </w:tcPr>
          <w:p w14:paraId="2CAFC03B" w14:textId="77777777" w:rsidR="00036380" w:rsidRPr="00726BD5" w:rsidRDefault="00036380" w:rsidP="00036380">
            <w:pPr>
              <w:rPr>
                <w:rFonts w:ascii="Montserrat" w:eastAsia="Times New Roman" w:hAnsi="Montserrat" w:cs="Times New Roman"/>
                <w:lang w:val="es-MX"/>
              </w:rPr>
            </w:pPr>
          </w:p>
        </w:tc>
      </w:tr>
      <w:tr w:rsidR="00036380" w:rsidRPr="00726BD5" w14:paraId="5D9D9A55" w14:textId="77777777" w:rsidTr="001536E6">
        <w:trPr>
          <w:trHeight w:val="242"/>
        </w:trPr>
        <w:tc>
          <w:tcPr>
            <w:tcW w:w="4210" w:type="dxa"/>
            <w:shd w:val="clear" w:color="auto" w:fill="auto"/>
            <w:vAlign w:val="center"/>
            <w:hideMark/>
          </w:tcPr>
          <w:p w14:paraId="3D0889A0"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Universidad Autónoma Comunal</w:t>
            </w:r>
          </w:p>
        </w:tc>
        <w:tc>
          <w:tcPr>
            <w:tcW w:w="4830" w:type="dxa"/>
            <w:shd w:val="clear" w:color="auto" w:fill="auto"/>
            <w:vAlign w:val="center"/>
            <w:hideMark/>
          </w:tcPr>
          <w:p w14:paraId="0B94917A"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Universidad Autónoma Comunal - OPD</w:t>
            </w:r>
          </w:p>
        </w:tc>
      </w:tr>
      <w:tr w:rsidR="00036380" w:rsidRPr="00726BD5" w14:paraId="09BC7075" w14:textId="77777777" w:rsidTr="001536E6">
        <w:trPr>
          <w:trHeight w:val="475"/>
        </w:trPr>
        <w:tc>
          <w:tcPr>
            <w:tcW w:w="4210" w:type="dxa"/>
            <w:shd w:val="clear" w:color="auto" w:fill="auto"/>
            <w:vAlign w:val="center"/>
            <w:hideMark/>
          </w:tcPr>
          <w:p w14:paraId="0236A4BF" w14:textId="77777777" w:rsidR="00036380" w:rsidRPr="00726BD5" w:rsidRDefault="00036380" w:rsidP="00036380">
            <w:pPr>
              <w:rPr>
                <w:rFonts w:ascii="Montserrat" w:eastAsia="Times New Roman" w:hAnsi="Montserrat" w:cs="Times New Roman"/>
              </w:rPr>
            </w:pPr>
            <w:r w:rsidRPr="00726BD5">
              <w:rPr>
                <w:rFonts w:ascii="Montserrat" w:eastAsia="Times New Roman" w:hAnsi="Montserrat" w:cs="Times New Roman"/>
              </w:rPr>
              <w:t>Jefatura de Gabinete</w:t>
            </w:r>
          </w:p>
        </w:tc>
        <w:tc>
          <w:tcPr>
            <w:tcW w:w="4830" w:type="dxa"/>
            <w:shd w:val="clear" w:color="auto" w:fill="auto"/>
            <w:vAlign w:val="center"/>
            <w:hideMark/>
          </w:tcPr>
          <w:p w14:paraId="055ADC27" w14:textId="77777777" w:rsidR="00036380" w:rsidRPr="00726BD5" w:rsidRDefault="00036380" w:rsidP="00036380">
            <w:pPr>
              <w:rPr>
                <w:rFonts w:ascii="Montserrat" w:eastAsia="Times New Roman" w:hAnsi="Montserrat" w:cs="Times New Roman"/>
              </w:rPr>
            </w:pPr>
            <w:r w:rsidRPr="00726BD5">
              <w:rPr>
                <w:rFonts w:ascii="Montserrat" w:eastAsia="Times New Roman" w:hAnsi="Montserrat" w:cs="Times New Roman"/>
              </w:rPr>
              <w:t>Ninguna</w:t>
            </w:r>
          </w:p>
        </w:tc>
      </w:tr>
      <w:tr w:rsidR="00036380" w:rsidRPr="00726BD5" w14:paraId="21FF9C9D" w14:textId="77777777" w:rsidTr="001536E6">
        <w:trPr>
          <w:trHeight w:val="475"/>
        </w:trPr>
        <w:tc>
          <w:tcPr>
            <w:tcW w:w="4210" w:type="dxa"/>
            <w:shd w:val="clear" w:color="auto" w:fill="auto"/>
            <w:vAlign w:val="center"/>
          </w:tcPr>
          <w:p w14:paraId="31803FBD" w14:textId="1DFA0C43" w:rsidR="00036380" w:rsidRPr="00726BD5" w:rsidRDefault="00036380" w:rsidP="00036380">
            <w:pPr>
              <w:rPr>
                <w:rFonts w:ascii="Montserrat" w:eastAsia="Times New Roman" w:hAnsi="Montserrat" w:cs="Times New Roman"/>
              </w:rPr>
            </w:pPr>
            <w:r w:rsidRPr="00726BD5">
              <w:rPr>
                <w:rFonts w:ascii="Montserrat" w:eastAsia="Times New Roman" w:hAnsi="Montserrat" w:cs="Times New Roman"/>
              </w:rPr>
              <w:t>Secretaría Ejecutiva del Sistema Estatal de Combate a la Corrupción</w:t>
            </w:r>
          </w:p>
        </w:tc>
        <w:tc>
          <w:tcPr>
            <w:tcW w:w="4830" w:type="dxa"/>
            <w:shd w:val="clear" w:color="auto" w:fill="auto"/>
            <w:vAlign w:val="center"/>
          </w:tcPr>
          <w:p w14:paraId="201A0A08" w14:textId="01506E37" w:rsidR="00036380" w:rsidRPr="00726BD5" w:rsidRDefault="00036380" w:rsidP="00036380">
            <w:pPr>
              <w:rPr>
                <w:rFonts w:ascii="Montserrat" w:eastAsia="Times New Roman" w:hAnsi="Montserrat" w:cs="Times New Roman"/>
              </w:rPr>
            </w:pPr>
            <w:r w:rsidRPr="00726BD5">
              <w:rPr>
                <w:rFonts w:ascii="Montserrat" w:eastAsia="Times New Roman" w:hAnsi="Montserrat" w:cs="Times New Roman"/>
              </w:rPr>
              <w:t>Ninguna</w:t>
            </w:r>
          </w:p>
        </w:tc>
      </w:tr>
    </w:tbl>
    <w:p w14:paraId="4D44D150" w14:textId="081DD6A2" w:rsidR="00E66438" w:rsidRPr="00726BD5" w:rsidRDefault="00E66438" w:rsidP="00B0059B">
      <w:pPr>
        <w:tabs>
          <w:tab w:val="left" w:pos="7260"/>
        </w:tabs>
        <w:jc w:val="both"/>
        <w:rPr>
          <w:rFonts w:ascii="Montserrat" w:eastAsia="Times New Roman" w:hAnsi="Montserrat" w:cs="Arial"/>
        </w:rPr>
      </w:pPr>
    </w:p>
    <w:p w14:paraId="167B028F" w14:textId="2FE73E81" w:rsidR="00B0059B" w:rsidRPr="00726BD5" w:rsidRDefault="00B0059B" w:rsidP="002D361E">
      <w:pPr>
        <w:rPr>
          <w:rFonts w:ascii="Montserrat" w:eastAsia="Times New Roman" w:hAnsi="Montserrat" w:cs="Arial"/>
        </w:rPr>
      </w:pPr>
    </w:p>
    <w:p w14:paraId="641ED5BC" w14:textId="77777777" w:rsidR="00B0059B" w:rsidRPr="00726BD5" w:rsidRDefault="00B0059B" w:rsidP="00DA40B0">
      <w:pPr>
        <w:pStyle w:val="Prrafodelista"/>
        <w:widowControl w:val="0"/>
        <w:numPr>
          <w:ilvl w:val="0"/>
          <w:numId w:val="6"/>
        </w:numPr>
        <w:ind w:left="426" w:hanging="426"/>
        <w:jc w:val="both"/>
        <w:rPr>
          <w:rFonts w:ascii="Montserrat" w:hAnsi="Montserrat"/>
          <w:b/>
          <w:sz w:val="24"/>
          <w:szCs w:val="24"/>
        </w:rPr>
      </w:pPr>
      <w:r w:rsidRPr="00726BD5">
        <w:rPr>
          <w:rFonts w:ascii="Montserrat" w:hAnsi="Montserrat"/>
          <w:b/>
          <w:sz w:val="24"/>
          <w:szCs w:val="24"/>
        </w:rPr>
        <w:t>Bases para la Preparación de los Estados Financieros</w:t>
      </w:r>
    </w:p>
    <w:p w14:paraId="0DFA67D0" w14:textId="77777777" w:rsidR="00B0059B" w:rsidRPr="00726BD5" w:rsidRDefault="00B0059B" w:rsidP="00B0059B">
      <w:pPr>
        <w:pStyle w:val="Prrafodelista"/>
        <w:widowControl w:val="0"/>
        <w:ind w:left="426"/>
        <w:jc w:val="both"/>
        <w:rPr>
          <w:rFonts w:ascii="Montserrat" w:hAnsi="Montserrat"/>
          <w:b/>
          <w:sz w:val="24"/>
          <w:szCs w:val="24"/>
        </w:rPr>
      </w:pPr>
    </w:p>
    <w:p w14:paraId="5A6D5A39" w14:textId="77777777" w:rsidR="00B0059B" w:rsidRPr="00726BD5"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 xml:space="preserve">Normatividad emitida por el CONAC y las disposiciones legales aplicables </w:t>
      </w:r>
    </w:p>
    <w:p w14:paraId="302B175F"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Los Estados Financieros fueron elaborados de conformidad a lo establecido en la Ley General de Contabilidad Gubernamental y considerando la normatividad emitida por el Consejo de Armonización Contable, desde el Marco Conceptual de Contabilidad Gubernamental, publicada en el Diario Oficial de la Federación el día 20 de agosto del año 2009, lo establecido en el Capítulo VII del Manual de Contabilidad Gubernamental, relativo a los Estados e Informes Contables, Presupuestarios, Programáticos y de los Indicadores de Postura Fiscal, publicación reformada en el Diario Oficial de la Federación el día 22 de noviembre del año 2010, así como lo establecido en las normas, acuerdos, reglas, lineamientos, parámetros y demás disposiciones emitidas por el Consejo Nacional de Armonización Contable.</w:t>
      </w:r>
    </w:p>
    <w:p w14:paraId="002C691D" w14:textId="77777777" w:rsidR="00B0059B" w:rsidRPr="00726BD5" w:rsidRDefault="00B0059B" w:rsidP="00B0059B">
      <w:pPr>
        <w:tabs>
          <w:tab w:val="left" w:pos="426"/>
          <w:tab w:val="left" w:pos="7260"/>
        </w:tabs>
        <w:jc w:val="both"/>
        <w:rPr>
          <w:rFonts w:ascii="Montserrat" w:eastAsia="Times New Roman" w:hAnsi="Montserrat" w:cs="Arial"/>
        </w:rPr>
      </w:pPr>
    </w:p>
    <w:p w14:paraId="42C92998" w14:textId="77777777" w:rsidR="00B0059B" w:rsidRPr="00726BD5"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La normatividad aplicada para el reconocimiento, valuación y revelación de los diferentes rubros de la información financiera.</w:t>
      </w:r>
    </w:p>
    <w:p w14:paraId="3A4D7E91" w14:textId="4868F602"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La Secretaría de Finanzas, en su carácter de normativa, integra y consolida la información contable de cada una de las Unidades Responsables de registrar las operaciones que afectan el patrimonio del ente público, así mismo, la Secretaría de Finanzas, por medio del Consejo </w:t>
      </w:r>
      <w:r w:rsidR="0078682B" w:rsidRPr="00726BD5">
        <w:rPr>
          <w:rFonts w:ascii="Montserrat" w:eastAsia="Times New Roman" w:hAnsi="Montserrat" w:cs="Arial"/>
        </w:rPr>
        <w:t>de Armonización Contable d</w:t>
      </w:r>
      <w:r w:rsidRPr="00726BD5">
        <w:rPr>
          <w:rFonts w:ascii="Montserrat" w:eastAsia="Times New Roman" w:hAnsi="Montserrat" w:cs="Arial"/>
        </w:rPr>
        <w:t>e</w:t>
      </w:r>
      <w:r w:rsidR="003D5E88" w:rsidRPr="00726BD5">
        <w:rPr>
          <w:rFonts w:ascii="Montserrat" w:eastAsia="Times New Roman" w:hAnsi="Montserrat" w:cs="Arial"/>
        </w:rPr>
        <w:t xml:space="preserve">l Estado de </w:t>
      </w:r>
      <w:r w:rsidRPr="00726BD5">
        <w:rPr>
          <w:rFonts w:ascii="Montserrat" w:eastAsia="Times New Roman" w:hAnsi="Montserrat" w:cs="Arial"/>
        </w:rPr>
        <w:t>Oaxaca (CAC</w:t>
      </w:r>
      <w:r w:rsidR="0078682B" w:rsidRPr="00726BD5">
        <w:rPr>
          <w:rFonts w:ascii="Montserrat" w:eastAsia="Times New Roman" w:hAnsi="Montserrat" w:cs="Arial"/>
        </w:rPr>
        <w:t>E</w:t>
      </w:r>
      <w:r w:rsidRPr="00726BD5">
        <w:rPr>
          <w:rFonts w:ascii="Montserrat" w:eastAsia="Times New Roman" w:hAnsi="Montserrat" w:cs="Arial"/>
        </w:rPr>
        <w:t>O) difunde en su página digital los documentos emitidos por el CONAC, mismos que se encuentran implementados por parte del Poder Ejecutivo, siendo los siguientes:</w:t>
      </w:r>
    </w:p>
    <w:p w14:paraId="49FD5A71" w14:textId="77777777" w:rsidR="00B0059B" w:rsidRPr="00726BD5" w:rsidRDefault="00B0059B" w:rsidP="00B0059B">
      <w:pPr>
        <w:tabs>
          <w:tab w:val="left" w:pos="7260"/>
        </w:tabs>
        <w:jc w:val="both"/>
        <w:rPr>
          <w:rFonts w:ascii="Montserrat" w:eastAsia="Times New Roman" w:hAnsi="Montserrat" w:cs="Arial"/>
        </w:rPr>
      </w:pPr>
    </w:p>
    <w:p w14:paraId="17836BC2"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Marco Conceptual de Contabilidad Gubernamental.</w:t>
      </w:r>
    </w:p>
    <w:p w14:paraId="27C9A8A0"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Postulados básicos de Contabilidad Gubernamental.</w:t>
      </w:r>
    </w:p>
    <w:p w14:paraId="7E56CFF9"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Normas y Metodología para la determinación de los momentos contables de los Egresos. Plan de Cuentas.</w:t>
      </w:r>
    </w:p>
    <w:p w14:paraId="63757918"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Normas y Metodologías para la Determinación de los Momentos Contables de los Ingresos.</w:t>
      </w:r>
    </w:p>
    <w:p w14:paraId="2CB36E74"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Lineamientos sobre los indicadores para Medir los Avances Físicos y Financieros relacionados con los Recursos Públicos Federales.</w:t>
      </w:r>
    </w:p>
    <w:p w14:paraId="7AA11EB8"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Normas y Metodología para la Emisión de Información Financiera y Estructura de los Estados Financieros Básicos del Ente Público y Características de sus Notas.</w:t>
      </w:r>
    </w:p>
    <w:p w14:paraId="12247D18"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Clasificador por Objeto del Gasto (Capítulo, Concepto g Partida Genérica).</w:t>
      </w:r>
    </w:p>
    <w:p w14:paraId="1CDFCC20"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Clasificador por Tipo de Gasto.</w:t>
      </w:r>
    </w:p>
    <w:p w14:paraId="50A6A943"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Clasificación Funcional del Gasto.</w:t>
      </w:r>
    </w:p>
    <w:p w14:paraId="24B84DAD"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Adecuaciones al Clasificador por Objeto de Gasto.</w:t>
      </w:r>
    </w:p>
    <w:p w14:paraId="4D88B39F"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Manual de Contabilidad Gubernamental.</w:t>
      </w:r>
    </w:p>
    <w:p w14:paraId="105FC96F"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Principales Reglas de Registro y Valoración del Patrimonio (Elementos Generales)</w:t>
      </w:r>
    </w:p>
    <w:p w14:paraId="45BF65AA"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Clasificación Funcional del Gasto (Finalidad, Función y Subfunción)</w:t>
      </w:r>
    </w:p>
    <w:p w14:paraId="5AAC0964"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Marco Metodológico Sobre Forma y Términos en que deberá Orientarse el Desarrollo del Análisis de los Componentes de las Finanzas Públicas con Relación a los Objetivos y Prioridades que, en la Materia, Establezca la Planeación del Desarrollo, para su integración en la Cuenta Pública.</w:t>
      </w:r>
    </w:p>
    <w:p w14:paraId="14F12AFB"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Clasificación Administrativa,</w:t>
      </w:r>
    </w:p>
    <w:p w14:paraId="030A9702"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Clasificación Económica de los Ingresos, de los Gastos y del Financiamiento de los Entes Públicos,</w:t>
      </w:r>
    </w:p>
    <w:p w14:paraId="484FE791"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Lineamientos Mínimos relativos al Diseño e Integración del Registro en los Libros Diario, Mayor e Inventarios y Balances (Registro Electrónico).</w:t>
      </w:r>
    </w:p>
    <w:p w14:paraId="3C73763A"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Lineamientos para la elaboración del Catálogo de Bienes que permita la interrelación automática con el Clasificador por Objeto del Gasto y la Lista de Cuentas.</w:t>
      </w:r>
    </w:p>
    <w:p w14:paraId="348B63AA"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lastRenderedPageBreak/>
        <w:t>Lineamientos dirigidos a asegurar que el Sistema de Contabilidad Gubernamental facilite el Registro y Control de los inventarios de los Bienes Muebles e Inmuebles de los Entes Públicos.</w:t>
      </w:r>
    </w:p>
    <w:p w14:paraId="627B4D5E"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Reglas Específicas del Registro y Valoración del Patrimonio.</w:t>
      </w:r>
    </w:p>
    <w:p w14:paraId="2F53FC78"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Lineamientos para la elaboración del Catálogo de Bienes Inmuebles que permita la Interrelación Automática con el Clasificador por Objeto del Gasto y la Lista de Cuentas.</w:t>
      </w:r>
    </w:p>
    <w:p w14:paraId="440961F5"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Parámetros de Estimación de Vida Útil.</w:t>
      </w:r>
    </w:p>
    <w:p w14:paraId="36FFD017"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Lineamientos que deberán observar los entes públicos para registrar en las cuentas de activo los fideicomisos sin estructura orgánica y contratos análogos incluyendo mandatos.</w:t>
      </w:r>
    </w:p>
    <w:p w14:paraId="0EDEE544"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Clasificador por Fuentes de Financiamiento.</w:t>
      </w:r>
    </w:p>
    <w:p w14:paraId="180E0C31"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Lineamientos para la construcción y diseño de indicadores de desempeño mediante la Metodología de Marco Lógico.</w:t>
      </w:r>
    </w:p>
    <w:p w14:paraId="6DF666E6"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Norma para establecer la estructura del formato de la relación de bienes que compone el patrimonio del ente público. </w:t>
      </w:r>
    </w:p>
    <w:p w14:paraId="20D6811D"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Clasificación Programática.</w:t>
      </w:r>
    </w:p>
    <w:p w14:paraId="6023FD3D" w14:textId="77777777" w:rsidR="00B0059B" w:rsidRPr="00726BD5" w:rsidRDefault="00B0059B" w:rsidP="00B0059B">
      <w:pPr>
        <w:tabs>
          <w:tab w:val="left" w:pos="7260"/>
        </w:tabs>
        <w:jc w:val="both"/>
        <w:rPr>
          <w:rFonts w:ascii="Montserrat" w:eastAsia="Times New Roman" w:hAnsi="Montserrat" w:cs="Arial"/>
        </w:rPr>
      </w:pPr>
    </w:p>
    <w:p w14:paraId="5FB706D8" w14:textId="77777777" w:rsidR="00B0059B" w:rsidRPr="00726BD5" w:rsidRDefault="00B0059B" w:rsidP="00D55BB4">
      <w:pPr>
        <w:pStyle w:val="Prrafodelista"/>
        <w:keepNext/>
        <w:widowControl w:val="0"/>
        <w:numPr>
          <w:ilvl w:val="0"/>
          <w:numId w:val="13"/>
        </w:numPr>
        <w:ind w:left="714" w:hanging="357"/>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Postulados Básicos</w:t>
      </w:r>
    </w:p>
    <w:p w14:paraId="0B8E65B6"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La Secretaría de Finanzas del Gobierno del Estado de Oaxaca ha preparado la información financiera con base en los postulados básicos de contabilidad gubernamental, los cuales sustentan de manera técnica los registros de las operaciones, la elaboración y presentación de los estados financieros, basados en su razonamiento, eficiencia, respaldo en legislación especializada y la aplicación de la Ley General de Contabilidad Gubernamental, con la finalidad de uniformar los métodos, procedimientos y prácticas contables.</w:t>
      </w:r>
    </w:p>
    <w:p w14:paraId="197D153E" w14:textId="77777777" w:rsidR="00E56EF6" w:rsidRPr="00726BD5" w:rsidRDefault="00E56EF6" w:rsidP="00B0059B">
      <w:pPr>
        <w:tabs>
          <w:tab w:val="left" w:pos="7260"/>
        </w:tabs>
        <w:jc w:val="both"/>
        <w:rPr>
          <w:rFonts w:ascii="Montserrat" w:eastAsia="Times New Roman" w:hAnsi="Montserrat" w:cs="Arial"/>
        </w:rPr>
      </w:pPr>
    </w:p>
    <w:p w14:paraId="77E8E4C6"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A continuación, se enlistan los Postulados Básicos de Contabilidad Gubernamental, los cuales deben ser aplicados por los entes públicos de forma tal, que la información que proporcionen sea oportuna, confiable y comparable para la toma de decisiones:</w:t>
      </w:r>
    </w:p>
    <w:p w14:paraId="3C9D7199" w14:textId="77777777" w:rsidR="00B0059B" w:rsidRPr="00726BD5" w:rsidRDefault="00B0059B" w:rsidP="00B0059B">
      <w:pPr>
        <w:pStyle w:val="Prrafodelista"/>
        <w:tabs>
          <w:tab w:val="left" w:pos="7260"/>
        </w:tabs>
        <w:jc w:val="both"/>
        <w:rPr>
          <w:rFonts w:ascii="Montserrat" w:eastAsia="Times New Roman" w:hAnsi="Montserrat" w:cs="Arial"/>
          <w:sz w:val="24"/>
          <w:szCs w:val="24"/>
        </w:rPr>
      </w:pPr>
    </w:p>
    <w:p w14:paraId="7F1BC32F"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Sustancia Económica</w:t>
      </w:r>
    </w:p>
    <w:p w14:paraId="671BE2A6"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Entes Públicos</w:t>
      </w:r>
    </w:p>
    <w:p w14:paraId="33D2EED2"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Existencia Permanente</w:t>
      </w:r>
    </w:p>
    <w:p w14:paraId="3E20B313"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Revelación Suficiente</w:t>
      </w:r>
    </w:p>
    <w:p w14:paraId="0782B001"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lastRenderedPageBreak/>
        <w:t>Importancia Relativa</w:t>
      </w:r>
    </w:p>
    <w:p w14:paraId="3BA6D082"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Registro e Integración Presupuestaria</w:t>
      </w:r>
      <w:r w:rsidRPr="00726BD5">
        <w:rPr>
          <w:rFonts w:ascii="Montserrat" w:eastAsia="Times New Roman" w:hAnsi="Montserrat" w:cs="Arial"/>
          <w:sz w:val="24"/>
          <w:szCs w:val="24"/>
        </w:rPr>
        <w:tab/>
      </w:r>
    </w:p>
    <w:p w14:paraId="0999E345"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Consolidación de la Información Financiera</w:t>
      </w:r>
    </w:p>
    <w:p w14:paraId="6FB091F3"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Devengo Contable</w:t>
      </w:r>
    </w:p>
    <w:p w14:paraId="63DC06D8"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Valuación</w:t>
      </w:r>
    </w:p>
    <w:p w14:paraId="0AFF7825"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Dualidad Económica</w:t>
      </w:r>
    </w:p>
    <w:p w14:paraId="05B0D798"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Consistencia</w:t>
      </w:r>
    </w:p>
    <w:p w14:paraId="6C4BA5E0" w14:textId="77777777" w:rsidR="00B0059B" w:rsidRPr="00726BD5" w:rsidRDefault="00B0059B" w:rsidP="00B0059B">
      <w:pPr>
        <w:pStyle w:val="Prrafodelista"/>
        <w:tabs>
          <w:tab w:val="left" w:pos="7260"/>
        </w:tabs>
        <w:ind w:left="993"/>
        <w:jc w:val="both"/>
        <w:rPr>
          <w:rFonts w:ascii="Montserrat" w:eastAsia="Times New Roman" w:hAnsi="Montserrat" w:cs="Arial"/>
          <w:sz w:val="24"/>
          <w:szCs w:val="24"/>
        </w:rPr>
      </w:pPr>
    </w:p>
    <w:p w14:paraId="2D278367" w14:textId="77777777" w:rsidR="00B0059B" w:rsidRPr="00726BD5"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Normatividad supletoria:</w:t>
      </w:r>
    </w:p>
    <w:p w14:paraId="5FE8D82A"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Se informa que, para la emisión de los Estados Financieros, no se ha recurrido a normatividad supletoria.</w:t>
      </w:r>
    </w:p>
    <w:p w14:paraId="02B9A39F" w14:textId="77777777" w:rsidR="00B0059B" w:rsidRPr="00726BD5" w:rsidRDefault="00B0059B" w:rsidP="00B0059B">
      <w:pPr>
        <w:tabs>
          <w:tab w:val="left" w:pos="7260"/>
        </w:tabs>
        <w:jc w:val="both"/>
        <w:rPr>
          <w:rFonts w:ascii="Montserrat" w:eastAsia="Times New Roman" w:hAnsi="Montserrat" w:cs="Arial"/>
        </w:rPr>
      </w:pPr>
    </w:p>
    <w:p w14:paraId="26C6AE81" w14:textId="49E3A1AD" w:rsidR="00B0059B" w:rsidRPr="00726BD5"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Entidades que por primera vez estén implementando la base devengad</w:t>
      </w:r>
      <w:r w:rsidR="0099356A" w:rsidRPr="00726BD5">
        <w:rPr>
          <w:rFonts w:ascii="Montserrat" w:eastAsia="Times New Roman" w:hAnsi="Montserrat" w:cs="Arial"/>
          <w:sz w:val="24"/>
          <w:szCs w:val="24"/>
          <w:lang w:val="es-ES" w:eastAsia="es-MX"/>
        </w:rPr>
        <w:t>o</w:t>
      </w:r>
      <w:r w:rsidRPr="00726BD5">
        <w:rPr>
          <w:rFonts w:ascii="Montserrat" w:eastAsia="Times New Roman" w:hAnsi="Montserrat" w:cs="Arial"/>
          <w:sz w:val="24"/>
          <w:szCs w:val="24"/>
          <w:lang w:val="es-ES" w:eastAsia="es-MX"/>
        </w:rPr>
        <w:t>:</w:t>
      </w:r>
    </w:p>
    <w:p w14:paraId="2F2156FE"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Poder Ejecutivo del Estado realizó la implementación de la base del ingreso y egreso devengado en el ejercicio fiscal 2012, por lo que no se encuentra en el supuesto citado en el presente inciso.</w:t>
      </w:r>
    </w:p>
    <w:p w14:paraId="2D132DBC" w14:textId="77777777" w:rsidR="00B0059B" w:rsidRPr="00726BD5" w:rsidRDefault="00B0059B" w:rsidP="00B0059B">
      <w:pPr>
        <w:tabs>
          <w:tab w:val="left" w:pos="7260"/>
        </w:tabs>
        <w:jc w:val="both"/>
        <w:rPr>
          <w:rFonts w:ascii="Montserrat" w:eastAsia="Times New Roman" w:hAnsi="Montserrat" w:cs="Arial"/>
        </w:rPr>
      </w:pPr>
    </w:p>
    <w:p w14:paraId="53CE4882" w14:textId="77777777" w:rsidR="00B0059B" w:rsidRPr="00726BD5" w:rsidRDefault="00B0059B" w:rsidP="00DA40B0">
      <w:pPr>
        <w:pStyle w:val="Prrafodelista"/>
        <w:widowControl w:val="0"/>
        <w:numPr>
          <w:ilvl w:val="0"/>
          <w:numId w:val="38"/>
        </w:numPr>
        <w:jc w:val="both"/>
        <w:rPr>
          <w:rFonts w:ascii="Montserrat" w:hAnsi="Montserrat"/>
          <w:b/>
          <w:sz w:val="24"/>
          <w:szCs w:val="24"/>
        </w:rPr>
      </w:pPr>
      <w:r w:rsidRPr="00726BD5">
        <w:rPr>
          <w:rFonts w:ascii="Montserrat" w:hAnsi="Montserrat"/>
          <w:b/>
          <w:sz w:val="24"/>
          <w:szCs w:val="24"/>
        </w:rPr>
        <w:t>Políticas de Contabilidad Significativas.</w:t>
      </w:r>
    </w:p>
    <w:p w14:paraId="2BC07A72" w14:textId="303BFB39"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Estados de Situación Financiera al 3</w:t>
      </w:r>
      <w:r w:rsidR="002D361E" w:rsidRPr="00726BD5">
        <w:rPr>
          <w:rFonts w:ascii="Montserrat" w:eastAsia="Times New Roman" w:hAnsi="Montserrat" w:cs="Arial"/>
        </w:rPr>
        <w:t>0</w:t>
      </w:r>
      <w:r w:rsidRPr="00726BD5">
        <w:rPr>
          <w:rFonts w:ascii="Montserrat" w:eastAsia="Times New Roman" w:hAnsi="Montserrat" w:cs="Arial"/>
        </w:rPr>
        <w:t xml:space="preserve"> de </w:t>
      </w:r>
      <w:r w:rsidR="002D361E" w:rsidRPr="00726BD5">
        <w:rPr>
          <w:rFonts w:ascii="Montserrat" w:eastAsia="Times New Roman" w:hAnsi="Montserrat" w:cs="Arial"/>
        </w:rPr>
        <w:t>junio</w:t>
      </w:r>
      <w:r w:rsidRPr="00726BD5">
        <w:rPr>
          <w:rFonts w:ascii="Montserrat" w:eastAsia="Times New Roman" w:hAnsi="Montserrat" w:cs="Arial"/>
        </w:rPr>
        <w:t xml:space="preserve"> de 202</w:t>
      </w:r>
      <w:r w:rsidR="002D361E" w:rsidRPr="00726BD5">
        <w:rPr>
          <w:rFonts w:ascii="Montserrat" w:eastAsia="Times New Roman" w:hAnsi="Montserrat" w:cs="Arial"/>
        </w:rPr>
        <w:t>5</w:t>
      </w:r>
      <w:r w:rsidRPr="00726BD5">
        <w:rPr>
          <w:rFonts w:ascii="Montserrat" w:eastAsia="Times New Roman" w:hAnsi="Montserrat" w:cs="Arial"/>
        </w:rPr>
        <w:t xml:space="preserve">, el Estado de Actividades, el Estado de Variaciones en la Hacienda Pública y el Estado de Flujo de Efectivo, correspondientes al periodo del 01 de enero al </w:t>
      </w:r>
      <w:r w:rsidR="00246EA4" w:rsidRPr="00726BD5">
        <w:rPr>
          <w:rFonts w:ascii="Montserrat" w:eastAsia="Times New Roman" w:hAnsi="Montserrat" w:cs="Arial"/>
        </w:rPr>
        <w:t>3</w:t>
      </w:r>
      <w:r w:rsidR="002D361E" w:rsidRPr="00726BD5">
        <w:rPr>
          <w:rFonts w:ascii="Montserrat" w:eastAsia="Times New Roman" w:hAnsi="Montserrat" w:cs="Arial"/>
        </w:rPr>
        <w:t>0</w:t>
      </w:r>
      <w:r w:rsidR="00246EA4" w:rsidRPr="00726BD5">
        <w:rPr>
          <w:rFonts w:ascii="Montserrat" w:eastAsia="Times New Roman" w:hAnsi="Montserrat" w:cs="Arial"/>
        </w:rPr>
        <w:t xml:space="preserve"> de </w:t>
      </w:r>
      <w:r w:rsidR="002D361E" w:rsidRPr="00726BD5">
        <w:rPr>
          <w:rFonts w:ascii="Montserrat" w:eastAsia="Times New Roman" w:hAnsi="Montserrat" w:cs="Arial"/>
        </w:rPr>
        <w:t>junio</w:t>
      </w:r>
      <w:r w:rsidRPr="00726BD5">
        <w:rPr>
          <w:rFonts w:ascii="Montserrat" w:eastAsia="Times New Roman" w:hAnsi="Montserrat" w:cs="Arial"/>
        </w:rPr>
        <w:t xml:space="preserve"> de 202</w:t>
      </w:r>
      <w:r w:rsidR="002D361E" w:rsidRPr="00726BD5">
        <w:rPr>
          <w:rFonts w:ascii="Montserrat" w:eastAsia="Times New Roman" w:hAnsi="Montserrat" w:cs="Arial"/>
        </w:rPr>
        <w:t>5</w:t>
      </w:r>
      <w:r w:rsidRPr="00726BD5">
        <w:rPr>
          <w:rFonts w:ascii="Montserrat" w:eastAsia="Times New Roman" w:hAnsi="Montserrat" w:cs="Arial"/>
        </w:rPr>
        <w:t>, fueron preparados y emitidos por dicho periodo, con la finalidad de dar cumplimiento a la disposición legal contenida en el artículo 81 de la Ley Estatal de Presupuesto y Responsabilidad Hacendaria.</w:t>
      </w:r>
    </w:p>
    <w:p w14:paraId="12262B61" w14:textId="77777777" w:rsidR="00B0059B" w:rsidRPr="00726BD5" w:rsidRDefault="00B0059B" w:rsidP="00B0059B">
      <w:pPr>
        <w:tabs>
          <w:tab w:val="left" w:pos="7260"/>
        </w:tabs>
        <w:jc w:val="both"/>
        <w:rPr>
          <w:rFonts w:ascii="Montserrat" w:eastAsia="Times New Roman" w:hAnsi="Montserrat" w:cs="Arial"/>
        </w:rPr>
      </w:pPr>
    </w:p>
    <w:p w14:paraId="5D5AD20C" w14:textId="77777777" w:rsidR="00B0059B" w:rsidRPr="00726BD5"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Actualización</w:t>
      </w:r>
    </w:p>
    <w:p w14:paraId="0038FDD7" w14:textId="502CCA48"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Conforme a los lineamientos de la NIF B-IO "Efectos de la Inflación", la economía mexicana se encuentra en un entorno no inflacionario, al mantener una inflación acumulada de los últimos tres años inferior al 26 por ciento (límite máximo para definir que una economía debe considerarse como no inflacionaria), por lo tanto, a partir 1 de enero de 2008 se suspendió el reconocimiento de los efectos de la inflación en la información financiera, situación que las cifras al </w:t>
      </w:r>
      <w:r w:rsidR="00246EA4" w:rsidRPr="00726BD5">
        <w:rPr>
          <w:rFonts w:ascii="Montserrat" w:eastAsia="Times New Roman" w:hAnsi="Montserrat" w:cs="Arial"/>
        </w:rPr>
        <w:t>3</w:t>
      </w:r>
      <w:r w:rsidR="002D361E" w:rsidRPr="00726BD5">
        <w:rPr>
          <w:rFonts w:ascii="Montserrat" w:eastAsia="Times New Roman" w:hAnsi="Montserrat" w:cs="Arial"/>
        </w:rPr>
        <w:t>0</w:t>
      </w:r>
      <w:r w:rsidR="00246EA4" w:rsidRPr="00726BD5">
        <w:rPr>
          <w:rFonts w:ascii="Montserrat" w:eastAsia="Times New Roman" w:hAnsi="Montserrat" w:cs="Arial"/>
        </w:rPr>
        <w:t xml:space="preserve"> de </w:t>
      </w:r>
      <w:r w:rsidR="002D361E" w:rsidRPr="00726BD5">
        <w:rPr>
          <w:rFonts w:ascii="Montserrat" w:eastAsia="Times New Roman" w:hAnsi="Montserrat" w:cs="Arial"/>
        </w:rPr>
        <w:t>junio</w:t>
      </w:r>
      <w:r w:rsidR="00246EA4" w:rsidRPr="00726BD5">
        <w:rPr>
          <w:rFonts w:ascii="Montserrat" w:eastAsia="Times New Roman" w:hAnsi="Montserrat" w:cs="Arial"/>
        </w:rPr>
        <w:t xml:space="preserve"> </w:t>
      </w:r>
      <w:r w:rsidRPr="00726BD5">
        <w:rPr>
          <w:rFonts w:ascii="Montserrat" w:eastAsia="Times New Roman" w:hAnsi="Montserrat" w:cs="Arial"/>
        </w:rPr>
        <w:t>de 202</w:t>
      </w:r>
      <w:r w:rsidR="002D361E" w:rsidRPr="00726BD5">
        <w:rPr>
          <w:rFonts w:ascii="Montserrat" w:eastAsia="Times New Roman" w:hAnsi="Montserrat" w:cs="Arial"/>
        </w:rPr>
        <w:t>5</w:t>
      </w:r>
      <w:r w:rsidRPr="00726BD5">
        <w:rPr>
          <w:rFonts w:ascii="Montserrat" w:eastAsia="Times New Roman" w:hAnsi="Montserrat" w:cs="Arial"/>
        </w:rPr>
        <w:t xml:space="preserve"> de los estados financieros adjuntos, se presentan en pesos históricos.</w:t>
      </w:r>
    </w:p>
    <w:p w14:paraId="256ECEAA" w14:textId="77777777" w:rsidR="00B0059B" w:rsidRPr="00726BD5" w:rsidRDefault="00B0059B" w:rsidP="00B0059B">
      <w:pPr>
        <w:tabs>
          <w:tab w:val="left" w:pos="7260"/>
        </w:tabs>
        <w:jc w:val="both"/>
        <w:rPr>
          <w:rFonts w:ascii="Montserrat" w:eastAsia="Times New Roman" w:hAnsi="Montserrat" w:cs="Arial"/>
        </w:rPr>
      </w:pPr>
    </w:p>
    <w:p w14:paraId="1A1760CE" w14:textId="77777777" w:rsidR="00E859AF" w:rsidRDefault="00E859AF" w:rsidP="00E859AF">
      <w:pPr>
        <w:pStyle w:val="Prrafodelista"/>
        <w:widowControl w:val="0"/>
        <w:jc w:val="both"/>
        <w:rPr>
          <w:rFonts w:ascii="Montserrat" w:eastAsia="Times New Roman" w:hAnsi="Montserrat" w:cs="Arial"/>
          <w:sz w:val="24"/>
          <w:szCs w:val="24"/>
          <w:lang w:val="es-ES" w:eastAsia="es-MX"/>
        </w:rPr>
      </w:pPr>
    </w:p>
    <w:p w14:paraId="26FB1405" w14:textId="5A4166F3" w:rsidR="00B0059B" w:rsidRPr="00726BD5"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lastRenderedPageBreak/>
        <w:t>Operaciones en el Extranjero</w:t>
      </w:r>
    </w:p>
    <w:p w14:paraId="093BD7E4" w14:textId="4F217BB3"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El Gobierno del Estado de Oaxaca al </w:t>
      </w:r>
      <w:r w:rsidR="002D361E" w:rsidRPr="00726BD5">
        <w:rPr>
          <w:rFonts w:ascii="Montserrat" w:eastAsia="Times New Roman" w:hAnsi="Montserrat" w:cs="Arial"/>
        </w:rPr>
        <w:t xml:space="preserve">30 de junio de 2025 </w:t>
      </w:r>
      <w:r w:rsidRPr="00726BD5">
        <w:rPr>
          <w:rFonts w:ascii="Montserrat" w:eastAsia="Times New Roman" w:hAnsi="Montserrat" w:cs="Arial"/>
        </w:rPr>
        <w:t>no cuenta con activos o recursos financieros en moneda extranjera.</w:t>
      </w:r>
    </w:p>
    <w:p w14:paraId="57D5F1A9" w14:textId="77777777" w:rsidR="00B0059B" w:rsidRPr="00726BD5" w:rsidRDefault="00B0059B" w:rsidP="00B0059B">
      <w:pPr>
        <w:tabs>
          <w:tab w:val="left" w:pos="7260"/>
        </w:tabs>
        <w:jc w:val="both"/>
        <w:rPr>
          <w:rFonts w:ascii="Montserrat" w:eastAsia="Times New Roman" w:hAnsi="Montserrat" w:cs="Arial"/>
        </w:rPr>
      </w:pPr>
    </w:p>
    <w:p w14:paraId="45A4C433" w14:textId="77777777" w:rsidR="00B0059B" w:rsidRPr="00726BD5"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Costo de Ventas</w:t>
      </w:r>
    </w:p>
    <w:p w14:paraId="5D07B044"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Ningún ente público dependiente del Gobierno del Estado de Oaxaca, realiza operaciones mercantiles en el cual se tenga que establecer el Costo de lo Vendido y en consecuencia la valuación de los inventarios.</w:t>
      </w:r>
    </w:p>
    <w:p w14:paraId="0B021572" w14:textId="77777777" w:rsidR="00B0059B" w:rsidRPr="00726BD5" w:rsidRDefault="00B0059B" w:rsidP="00B0059B">
      <w:pPr>
        <w:tabs>
          <w:tab w:val="left" w:pos="7260"/>
        </w:tabs>
        <w:jc w:val="both"/>
        <w:rPr>
          <w:rFonts w:ascii="Montserrat" w:eastAsia="Times New Roman" w:hAnsi="Montserrat" w:cs="Arial"/>
        </w:rPr>
      </w:pPr>
    </w:p>
    <w:p w14:paraId="69FD69BD" w14:textId="77777777" w:rsidR="00B0059B" w:rsidRPr="00726BD5"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Patrimonio</w:t>
      </w:r>
    </w:p>
    <w:p w14:paraId="39CE61C2"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De conformidad con la Ley General de Contabilidad Gubernamental y los lineamientos emitidos por el Consejo Nacional de Armonización Contable en las reglas de registro y valoración del patrimonio en el punto III en las definiciones del activo, pasivo, hacienda pública/patrimonio, las aportaciones, las donaciones de capital, los ahorros/desahorros acumulados se expresan a su costo histórico.</w:t>
      </w:r>
    </w:p>
    <w:p w14:paraId="3D89311C" w14:textId="77777777" w:rsidR="00B0059B" w:rsidRPr="00726BD5" w:rsidRDefault="00B0059B" w:rsidP="00B0059B">
      <w:pPr>
        <w:tabs>
          <w:tab w:val="left" w:pos="7260"/>
        </w:tabs>
        <w:jc w:val="both"/>
        <w:rPr>
          <w:rFonts w:ascii="Montserrat" w:eastAsia="Times New Roman" w:hAnsi="Montserrat" w:cs="Arial"/>
        </w:rPr>
      </w:pPr>
    </w:p>
    <w:p w14:paraId="532DCCA6" w14:textId="77777777" w:rsidR="00B0059B" w:rsidRPr="00726BD5" w:rsidRDefault="00B0059B" w:rsidP="00D55BB4">
      <w:pPr>
        <w:pStyle w:val="Prrafodelista"/>
        <w:keepNext/>
        <w:widowControl w:val="0"/>
        <w:numPr>
          <w:ilvl w:val="0"/>
          <w:numId w:val="14"/>
        </w:numPr>
        <w:ind w:left="714" w:hanging="357"/>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Beneficios a Empleados</w:t>
      </w:r>
    </w:p>
    <w:p w14:paraId="1F10CF1A"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Los pagos basados en antigüedad a que puedan tener derecho los empleados en caso de retiro voluntario, separación o muerte de acuerdo con las condiciones generales de trabajo se registran como egresos en el año que se vuelven exigibles y se pagan.</w:t>
      </w:r>
    </w:p>
    <w:p w14:paraId="62E5E745" w14:textId="77777777" w:rsidR="00B0059B" w:rsidRPr="00726BD5" w:rsidRDefault="00B0059B" w:rsidP="00B0059B">
      <w:pPr>
        <w:tabs>
          <w:tab w:val="left" w:pos="7260"/>
        </w:tabs>
        <w:jc w:val="both"/>
        <w:rPr>
          <w:rFonts w:ascii="Montserrat" w:eastAsia="Times New Roman" w:hAnsi="Montserrat" w:cs="Arial"/>
        </w:rPr>
      </w:pPr>
    </w:p>
    <w:p w14:paraId="28E61F34"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Por Ley las obligaciones por jubilaciones están a cargo de un organismo descentralizado denominado Oficina de Pensiones del Estado de Oaxaca.</w:t>
      </w:r>
    </w:p>
    <w:p w14:paraId="1F47DF44" w14:textId="77777777" w:rsidR="00B0059B" w:rsidRPr="00726BD5" w:rsidRDefault="00B0059B" w:rsidP="00B0059B">
      <w:pPr>
        <w:tabs>
          <w:tab w:val="left" w:pos="7260"/>
        </w:tabs>
        <w:jc w:val="both"/>
        <w:rPr>
          <w:rFonts w:ascii="Montserrat" w:eastAsia="Times New Roman" w:hAnsi="Montserrat" w:cs="Arial"/>
        </w:rPr>
      </w:pPr>
    </w:p>
    <w:p w14:paraId="234CF139" w14:textId="77777777" w:rsidR="00B0059B" w:rsidRPr="00726BD5"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Provisiones</w:t>
      </w:r>
    </w:p>
    <w:p w14:paraId="59CED00D"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No se tienen identificados conceptos o hechos de los cuales sea necesario el registro de provisiones.</w:t>
      </w:r>
    </w:p>
    <w:p w14:paraId="6E107356" w14:textId="77777777" w:rsidR="00B0059B" w:rsidRPr="00726BD5" w:rsidRDefault="00B0059B" w:rsidP="00B0059B">
      <w:pPr>
        <w:tabs>
          <w:tab w:val="left" w:pos="7260"/>
        </w:tabs>
        <w:jc w:val="both"/>
        <w:rPr>
          <w:rFonts w:ascii="Montserrat" w:eastAsia="Times New Roman" w:hAnsi="Montserrat" w:cs="Arial"/>
        </w:rPr>
      </w:pPr>
    </w:p>
    <w:p w14:paraId="0825AAAC" w14:textId="77777777" w:rsidR="00B0059B" w:rsidRPr="00726BD5"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Reservas</w:t>
      </w:r>
    </w:p>
    <w:p w14:paraId="281148D9" w14:textId="18CD229E" w:rsidR="0099356A"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No se tienen identificados conceptos o hechos de los cuales sea necesario el registro de reservas.</w:t>
      </w:r>
    </w:p>
    <w:p w14:paraId="520F3EFF" w14:textId="77777777" w:rsidR="00E859AF" w:rsidRDefault="00E859AF" w:rsidP="00B0059B">
      <w:pPr>
        <w:tabs>
          <w:tab w:val="left" w:pos="7260"/>
        </w:tabs>
        <w:jc w:val="both"/>
        <w:rPr>
          <w:rFonts w:ascii="Montserrat" w:eastAsia="Times New Roman" w:hAnsi="Montserrat" w:cs="Arial"/>
        </w:rPr>
      </w:pPr>
    </w:p>
    <w:p w14:paraId="054D4F84" w14:textId="77777777" w:rsidR="00E859AF" w:rsidRPr="00726BD5" w:rsidRDefault="00E859AF" w:rsidP="00B0059B">
      <w:pPr>
        <w:tabs>
          <w:tab w:val="left" w:pos="7260"/>
        </w:tabs>
        <w:jc w:val="both"/>
        <w:rPr>
          <w:rFonts w:ascii="Montserrat" w:eastAsia="Times New Roman" w:hAnsi="Montserrat" w:cs="Arial"/>
        </w:rPr>
      </w:pPr>
    </w:p>
    <w:p w14:paraId="4B9A5067" w14:textId="77777777" w:rsidR="005C0A3B" w:rsidRPr="00726BD5" w:rsidRDefault="005C0A3B" w:rsidP="00B0059B">
      <w:pPr>
        <w:tabs>
          <w:tab w:val="left" w:pos="7260"/>
        </w:tabs>
        <w:jc w:val="both"/>
        <w:rPr>
          <w:rFonts w:ascii="Montserrat" w:eastAsia="Times New Roman" w:hAnsi="Montserrat" w:cs="Arial"/>
        </w:rPr>
      </w:pPr>
    </w:p>
    <w:p w14:paraId="267A6438" w14:textId="77777777" w:rsidR="00B0059B" w:rsidRPr="00726BD5"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lastRenderedPageBreak/>
        <w:t>Cambio en Políticas Contables</w:t>
      </w:r>
    </w:p>
    <w:p w14:paraId="40637A48"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No existieron cambios en políticas contables que generaran un efecto relevante en la información financiera.</w:t>
      </w:r>
    </w:p>
    <w:p w14:paraId="4356F000" w14:textId="77777777" w:rsidR="00B0059B" w:rsidRPr="00726BD5" w:rsidRDefault="00B0059B" w:rsidP="00B0059B">
      <w:pPr>
        <w:tabs>
          <w:tab w:val="left" w:pos="7260"/>
        </w:tabs>
        <w:jc w:val="both"/>
        <w:rPr>
          <w:rFonts w:ascii="Montserrat" w:eastAsia="Times New Roman" w:hAnsi="Montserrat" w:cs="Arial"/>
        </w:rPr>
      </w:pPr>
    </w:p>
    <w:p w14:paraId="794213A7" w14:textId="77777777" w:rsidR="00B0059B" w:rsidRPr="00726BD5" w:rsidRDefault="00B0059B" w:rsidP="002D361E">
      <w:pPr>
        <w:pStyle w:val="Prrafodelista"/>
        <w:keepNext/>
        <w:widowControl w:val="0"/>
        <w:numPr>
          <w:ilvl w:val="0"/>
          <w:numId w:val="14"/>
        </w:numPr>
        <w:ind w:left="714" w:hanging="357"/>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Reclasificaciones</w:t>
      </w:r>
    </w:p>
    <w:p w14:paraId="76F8DDD5" w14:textId="0A59A406"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En la Información financiera, </w:t>
      </w:r>
      <w:r w:rsidR="00A7045B" w:rsidRPr="00726BD5">
        <w:rPr>
          <w:rFonts w:ascii="Montserrat" w:eastAsia="Times New Roman" w:hAnsi="Montserrat" w:cs="Arial"/>
        </w:rPr>
        <w:t>a la fecha del presente trimestre,</w:t>
      </w:r>
      <w:r w:rsidRPr="00726BD5">
        <w:rPr>
          <w:rFonts w:ascii="Montserrat" w:eastAsia="Times New Roman" w:hAnsi="Montserrat" w:cs="Arial"/>
        </w:rPr>
        <w:t xml:space="preserve"> no tienen registros de movimientos entre cuentas por efectos de cambios en los tipos de operaciones.</w:t>
      </w:r>
    </w:p>
    <w:p w14:paraId="4463316F" w14:textId="77777777" w:rsidR="00B0059B" w:rsidRPr="00726BD5" w:rsidRDefault="00B0059B" w:rsidP="00B0059B">
      <w:pPr>
        <w:tabs>
          <w:tab w:val="left" w:pos="7260"/>
        </w:tabs>
        <w:jc w:val="both"/>
        <w:rPr>
          <w:rFonts w:ascii="Montserrat" w:eastAsia="Times New Roman" w:hAnsi="Montserrat" w:cs="Arial"/>
        </w:rPr>
      </w:pPr>
    </w:p>
    <w:p w14:paraId="2C6C4F4F" w14:textId="77777777" w:rsidR="00B0059B" w:rsidRPr="00726BD5"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Depuración y cancelación de saldos.</w:t>
      </w:r>
    </w:p>
    <w:p w14:paraId="522B5753" w14:textId="771489B4" w:rsidR="00B0059B" w:rsidRPr="00726BD5" w:rsidRDefault="00A7045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Durante el 2024 no </w:t>
      </w:r>
      <w:r w:rsidR="00B0059B" w:rsidRPr="00726BD5">
        <w:rPr>
          <w:rFonts w:ascii="Montserrat" w:eastAsia="Times New Roman" w:hAnsi="Montserrat" w:cs="Arial"/>
        </w:rPr>
        <w:t>se</w:t>
      </w:r>
      <w:r w:rsidRPr="00726BD5">
        <w:rPr>
          <w:rFonts w:ascii="Montserrat" w:eastAsia="Times New Roman" w:hAnsi="Montserrat" w:cs="Arial"/>
        </w:rPr>
        <w:t xml:space="preserve"> han realizado</w:t>
      </w:r>
      <w:r w:rsidR="00B0059B" w:rsidRPr="00726BD5">
        <w:rPr>
          <w:rFonts w:ascii="Montserrat" w:eastAsia="Times New Roman" w:hAnsi="Montserrat" w:cs="Arial"/>
        </w:rPr>
        <w:t xml:space="preserve"> depuraciones y cancelación de cuentas contables</w:t>
      </w:r>
      <w:r w:rsidR="00D55BB4" w:rsidRPr="00726BD5">
        <w:rPr>
          <w:rFonts w:ascii="Montserrat" w:eastAsia="Times New Roman" w:hAnsi="Montserrat" w:cs="Arial"/>
        </w:rPr>
        <w:t xml:space="preserve"> significativas.</w:t>
      </w:r>
    </w:p>
    <w:p w14:paraId="63C1EBE2" w14:textId="77777777" w:rsidR="00B0059B" w:rsidRPr="00726BD5" w:rsidRDefault="00B0059B" w:rsidP="00B0059B">
      <w:pPr>
        <w:tabs>
          <w:tab w:val="left" w:pos="7260"/>
        </w:tabs>
        <w:jc w:val="both"/>
        <w:rPr>
          <w:rFonts w:ascii="Montserrat" w:eastAsia="Times New Roman" w:hAnsi="Montserrat" w:cs="Arial"/>
        </w:rPr>
      </w:pPr>
    </w:p>
    <w:p w14:paraId="21832A0D" w14:textId="77777777" w:rsidR="00B0059B" w:rsidRPr="00726BD5" w:rsidRDefault="00B0059B" w:rsidP="00DA40B0">
      <w:pPr>
        <w:pStyle w:val="Prrafodelista"/>
        <w:widowControl w:val="0"/>
        <w:numPr>
          <w:ilvl w:val="0"/>
          <w:numId w:val="38"/>
        </w:numPr>
        <w:ind w:left="426" w:hanging="426"/>
        <w:jc w:val="both"/>
        <w:rPr>
          <w:rFonts w:ascii="Montserrat" w:hAnsi="Montserrat"/>
          <w:b/>
          <w:sz w:val="24"/>
          <w:szCs w:val="24"/>
        </w:rPr>
      </w:pPr>
      <w:r w:rsidRPr="00726BD5">
        <w:rPr>
          <w:rFonts w:ascii="Montserrat" w:hAnsi="Montserrat"/>
          <w:b/>
          <w:sz w:val="24"/>
          <w:szCs w:val="24"/>
        </w:rPr>
        <w:t>Posición en Moneda Extranjera y Protección por Riesgo Cambiario.</w:t>
      </w:r>
    </w:p>
    <w:p w14:paraId="3FF0EC3F" w14:textId="5FE31D6E"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El Gobierno del Estado de Oaxaca al </w:t>
      </w:r>
      <w:r w:rsidR="002D361E" w:rsidRPr="00726BD5">
        <w:rPr>
          <w:rFonts w:ascii="Montserrat" w:eastAsia="Times New Roman" w:hAnsi="Montserrat" w:cs="Arial"/>
        </w:rPr>
        <w:t xml:space="preserve">30 de junio de 2025 </w:t>
      </w:r>
      <w:r w:rsidRPr="00726BD5">
        <w:rPr>
          <w:rFonts w:ascii="Montserrat" w:eastAsia="Times New Roman" w:hAnsi="Montserrat" w:cs="Arial"/>
        </w:rPr>
        <w:t>no cuenta con activos o recursos financieros en moneda extranjera y como consecuencia no se cuenta con protección por riesgo cambiario,</w:t>
      </w:r>
    </w:p>
    <w:p w14:paraId="18A3F738" w14:textId="77777777" w:rsidR="00B0059B" w:rsidRPr="00726BD5" w:rsidRDefault="00B0059B" w:rsidP="00B0059B">
      <w:pPr>
        <w:tabs>
          <w:tab w:val="left" w:pos="7260"/>
        </w:tabs>
        <w:jc w:val="both"/>
        <w:rPr>
          <w:rFonts w:ascii="Montserrat" w:eastAsia="Times New Roman" w:hAnsi="Montserrat" w:cs="Arial"/>
        </w:rPr>
      </w:pPr>
    </w:p>
    <w:p w14:paraId="654FDA03" w14:textId="77777777" w:rsidR="00B0059B" w:rsidRPr="00726BD5" w:rsidRDefault="00B0059B" w:rsidP="00DA40B0">
      <w:pPr>
        <w:pStyle w:val="Prrafodelista"/>
        <w:widowControl w:val="0"/>
        <w:numPr>
          <w:ilvl w:val="0"/>
          <w:numId w:val="38"/>
        </w:numPr>
        <w:ind w:left="426" w:hanging="426"/>
        <w:jc w:val="both"/>
        <w:rPr>
          <w:rFonts w:ascii="Montserrat" w:hAnsi="Montserrat"/>
          <w:b/>
          <w:sz w:val="24"/>
          <w:szCs w:val="24"/>
        </w:rPr>
      </w:pPr>
      <w:r w:rsidRPr="00726BD5">
        <w:rPr>
          <w:rFonts w:ascii="Montserrat" w:hAnsi="Montserrat"/>
          <w:b/>
          <w:sz w:val="24"/>
          <w:szCs w:val="24"/>
        </w:rPr>
        <w:t>Reporte Analítico del Activo</w:t>
      </w:r>
    </w:p>
    <w:p w14:paraId="436B878C" w14:textId="77777777" w:rsidR="00B0059B" w:rsidRPr="00726BD5" w:rsidRDefault="00B0059B" w:rsidP="00B0059B">
      <w:pPr>
        <w:pStyle w:val="Prrafodelista"/>
        <w:widowControl w:val="0"/>
        <w:ind w:left="426"/>
        <w:jc w:val="both"/>
        <w:rPr>
          <w:rFonts w:ascii="Montserrat" w:hAnsi="Montserrat"/>
          <w:b/>
          <w:sz w:val="24"/>
          <w:szCs w:val="24"/>
        </w:rPr>
      </w:pPr>
    </w:p>
    <w:p w14:paraId="0F3BD343"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Vida útil, porcentajes de depreciación y amortización utilizados en los diferentes tipos de activos, o el importe de las pérdidas por deterioro reconocidas</w:t>
      </w:r>
    </w:p>
    <w:p w14:paraId="05247D2C" w14:textId="7DF8C3FD"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El registro del Activo se basa en lo estipulado en las </w:t>
      </w:r>
      <w:r w:rsidR="00A4023D" w:rsidRPr="00726BD5">
        <w:rPr>
          <w:rFonts w:ascii="Montserrat" w:eastAsia="Times New Roman" w:hAnsi="Montserrat" w:cs="Arial"/>
        </w:rPr>
        <w:t>Reglas de Registro y Valuación del Patrimonio;</w:t>
      </w:r>
      <w:r w:rsidRPr="00726BD5">
        <w:rPr>
          <w:rFonts w:ascii="Montserrat" w:eastAsia="Times New Roman" w:hAnsi="Montserrat" w:cs="Arial"/>
        </w:rPr>
        <w:t xml:space="preserve"> la vida </w:t>
      </w:r>
      <w:r w:rsidR="00A4023D" w:rsidRPr="00726BD5">
        <w:rPr>
          <w:rFonts w:ascii="Montserrat" w:eastAsia="Times New Roman" w:hAnsi="Montserrat" w:cs="Arial"/>
        </w:rPr>
        <w:t>contable</w:t>
      </w:r>
      <w:r w:rsidRPr="00726BD5">
        <w:rPr>
          <w:rFonts w:ascii="Montserrat" w:eastAsia="Times New Roman" w:hAnsi="Montserrat" w:cs="Arial"/>
        </w:rPr>
        <w:t xml:space="preserve"> </w:t>
      </w:r>
      <w:r w:rsidR="00A4023D" w:rsidRPr="00726BD5">
        <w:rPr>
          <w:rFonts w:ascii="Montserrat" w:eastAsia="Times New Roman" w:hAnsi="Montserrat" w:cs="Arial"/>
        </w:rPr>
        <w:t xml:space="preserve">de los bienes </w:t>
      </w:r>
      <w:r w:rsidRPr="00726BD5">
        <w:rPr>
          <w:rFonts w:ascii="Montserrat" w:eastAsia="Times New Roman" w:hAnsi="Montserrat" w:cs="Arial"/>
        </w:rPr>
        <w:t xml:space="preserve">se considera de acuerdo con los Parámetros de Estimación de Vida Útil, normatividad emitida por el CONAC, publicado en el Diario Oficial de la Federación </w:t>
      </w:r>
      <w:r w:rsidR="00A4023D" w:rsidRPr="00726BD5">
        <w:rPr>
          <w:rFonts w:ascii="Montserrat" w:eastAsia="Times New Roman" w:hAnsi="Montserrat" w:cs="Arial"/>
        </w:rPr>
        <w:t>con vigencia de aplicación a partir del 1º de enero de 2025</w:t>
      </w:r>
      <w:r w:rsidRPr="00726BD5">
        <w:rPr>
          <w:rFonts w:ascii="Montserrat" w:eastAsia="Times New Roman" w:hAnsi="Montserrat" w:cs="Arial"/>
        </w:rPr>
        <w:t>, lo que sustenta las cifras reportadas en el Estado Analítico del Activo. Los años de vida útil pueden cambiar en aquellos bienes en que por razones de uso sea menor.</w:t>
      </w:r>
    </w:p>
    <w:p w14:paraId="63E2AD91" w14:textId="77777777" w:rsidR="00B0059B" w:rsidRPr="00726BD5" w:rsidRDefault="00B0059B" w:rsidP="00B0059B">
      <w:pPr>
        <w:pStyle w:val="Prrafodelista"/>
        <w:tabs>
          <w:tab w:val="left" w:pos="7260"/>
        </w:tabs>
        <w:ind w:left="567"/>
        <w:jc w:val="both"/>
        <w:rPr>
          <w:rFonts w:ascii="Montserrat" w:eastAsia="Times New Roman" w:hAnsi="Montserrat" w:cs="Arial"/>
          <w:sz w:val="24"/>
          <w:szCs w:val="24"/>
        </w:rPr>
      </w:pPr>
    </w:p>
    <w:p w14:paraId="0A297071"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Cambios en el porcentaje de depreciación y amortización y en el valor de los activos ocasionado por deterioro.</w:t>
      </w:r>
    </w:p>
    <w:p w14:paraId="72CB4D94"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Se informa que, para la determinación y reconocimiento de los montos de la depreciación y amortización de los bienes muebles, inmuebles e intangibles, desde el inicio de su reconocimiento en el año 2018, se </w:t>
      </w:r>
      <w:r w:rsidRPr="00726BD5">
        <w:rPr>
          <w:rFonts w:ascii="Montserrat" w:eastAsia="Times New Roman" w:hAnsi="Montserrat" w:cs="Arial"/>
        </w:rPr>
        <w:lastRenderedPageBreak/>
        <w:t>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7E83CD45" w14:textId="77777777" w:rsidR="005C0A3B" w:rsidRPr="00726BD5" w:rsidRDefault="005C0A3B" w:rsidP="00B0059B">
      <w:pPr>
        <w:tabs>
          <w:tab w:val="left" w:pos="7260"/>
        </w:tabs>
        <w:jc w:val="both"/>
        <w:rPr>
          <w:rFonts w:ascii="Montserrat" w:eastAsia="Times New Roman" w:hAnsi="Montserrat" w:cs="Arial"/>
        </w:rPr>
      </w:pPr>
    </w:p>
    <w:p w14:paraId="5AF7B716"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Importe de los gastos capitalizados en el ejercicio, tanto financieros como de investigación y desarrollo.</w:t>
      </w:r>
    </w:p>
    <w:p w14:paraId="6C37A2ED"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En el periodo que se informa no se han realizado registros contables para capitalizar gasto financiero ni de investigación y desarrollo.</w:t>
      </w:r>
    </w:p>
    <w:p w14:paraId="2D72596E" w14:textId="77777777" w:rsidR="00B0059B" w:rsidRPr="00726BD5" w:rsidRDefault="00B0059B" w:rsidP="00B0059B">
      <w:pPr>
        <w:tabs>
          <w:tab w:val="left" w:pos="7260"/>
        </w:tabs>
        <w:jc w:val="both"/>
        <w:rPr>
          <w:rFonts w:ascii="Montserrat" w:eastAsia="Times New Roman" w:hAnsi="Montserrat" w:cs="Arial"/>
        </w:rPr>
      </w:pPr>
    </w:p>
    <w:p w14:paraId="16DDAA34"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Riesgos por tipo de cambio o tipo de interés de las inversiones financieras.</w:t>
      </w:r>
    </w:p>
    <w:p w14:paraId="50D74D2E" w14:textId="175708E0"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A</w:t>
      </w:r>
      <w:r w:rsidR="002D361E" w:rsidRPr="00726BD5">
        <w:rPr>
          <w:rFonts w:ascii="Montserrat" w:eastAsia="Times New Roman" w:hAnsi="Montserrat" w:cs="Arial"/>
        </w:rPr>
        <w:t xml:space="preserve"> la fecha del presente informe</w:t>
      </w:r>
      <w:r w:rsidRPr="00726BD5">
        <w:rPr>
          <w:rFonts w:ascii="Montserrat" w:eastAsia="Times New Roman" w:hAnsi="Montserrat" w:cs="Arial"/>
        </w:rPr>
        <w:t xml:space="preserve">, la cuenta de Inversiones Financieras a largo plazo presenta un saldo de </w:t>
      </w:r>
      <w:r w:rsidR="00FA1CDB" w:rsidRPr="00726BD5">
        <w:rPr>
          <w:rFonts w:ascii="Montserrat" w:eastAsia="Times New Roman" w:hAnsi="Montserrat" w:cs="Arial"/>
        </w:rPr>
        <w:t>2</w:t>
      </w:r>
      <w:r w:rsidR="00D71A7E" w:rsidRPr="00726BD5">
        <w:rPr>
          <w:rFonts w:ascii="Montserrat" w:eastAsia="Times New Roman" w:hAnsi="Montserrat" w:cs="Arial"/>
        </w:rPr>
        <w:t>,</w:t>
      </w:r>
      <w:r w:rsidR="00FA1CDB" w:rsidRPr="00726BD5">
        <w:rPr>
          <w:rFonts w:ascii="Montserrat" w:eastAsia="Times New Roman" w:hAnsi="Montserrat" w:cs="Arial"/>
        </w:rPr>
        <w:t>115</w:t>
      </w:r>
      <w:r w:rsidRPr="00726BD5">
        <w:rPr>
          <w:rFonts w:ascii="Montserrat" w:eastAsia="Times New Roman" w:hAnsi="Montserrat" w:cs="Arial"/>
        </w:rPr>
        <w:t xml:space="preserve"> millones de pesos, saldo que se sustenta con el Convenio de Coordinación y Colaboración para la potenciación de los Recursos de Fondo de Aportaciones Múltiples, y se encuentra libre de riesgo en cuanto a la tasa de interés, toda vez que su inversión se rige bajo la normatividad aplicable del Fiduciario y los lineamientos del FAM.</w:t>
      </w:r>
    </w:p>
    <w:p w14:paraId="6EB8B1B4" w14:textId="77777777" w:rsidR="00B0059B" w:rsidRPr="00726BD5" w:rsidRDefault="00B0059B" w:rsidP="00B0059B">
      <w:pPr>
        <w:tabs>
          <w:tab w:val="left" w:pos="7260"/>
        </w:tabs>
        <w:jc w:val="both"/>
        <w:rPr>
          <w:rFonts w:ascii="Montserrat" w:eastAsia="Times New Roman" w:hAnsi="Montserrat" w:cs="Arial"/>
        </w:rPr>
      </w:pPr>
    </w:p>
    <w:p w14:paraId="3E8637FB" w14:textId="77777777" w:rsidR="00B0059B" w:rsidRPr="00726BD5" w:rsidRDefault="00B0059B" w:rsidP="003E76BA">
      <w:pPr>
        <w:pStyle w:val="Prrafodelista"/>
        <w:keepNext/>
        <w:widowControl w:val="0"/>
        <w:numPr>
          <w:ilvl w:val="0"/>
          <w:numId w:val="15"/>
        </w:numPr>
        <w:ind w:left="714" w:hanging="357"/>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Valor en el ejercicio de los bienes construidos por la entidad.</w:t>
      </w:r>
    </w:p>
    <w:p w14:paraId="3E1E801C"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Poder Ejecutivo del Gobierno del Estado no realiza obra propia ni construye bienes inmuebles para su propiedad.</w:t>
      </w:r>
    </w:p>
    <w:p w14:paraId="3325898A" w14:textId="77777777" w:rsidR="00B0059B" w:rsidRPr="00726BD5" w:rsidRDefault="00B0059B" w:rsidP="00B0059B">
      <w:pPr>
        <w:tabs>
          <w:tab w:val="left" w:pos="7260"/>
        </w:tabs>
        <w:jc w:val="both"/>
        <w:rPr>
          <w:rFonts w:ascii="Montserrat" w:eastAsia="Times New Roman" w:hAnsi="Montserrat" w:cs="Arial"/>
        </w:rPr>
      </w:pPr>
    </w:p>
    <w:p w14:paraId="421A4508"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Otras circunstancias de carácter significativo que afecten el activo, tales como bienes en garantía, señalados en embargos, litigios, títulos de inversiones entregados en garantías, baja significativa del valor de inversiones financieras, etc.</w:t>
      </w:r>
    </w:p>
    <w:p w14:paraId="04D70BD7" w14:textId="676DE9A9"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A la fecha de los estados financieros, no se identifica alguna circunstancia que afecte el activo.</w:t>
      </w:r>
    </w:p>
    <w:p w14:paraId="48EDF8F8" w14:textId="77777777" w:rsidR="00B0059B" w:rsidRPr="00726BD5" w:rsidRDefault="00B0059B" w:rsidP="00B0059B">
      <w:pPr>
        <w:tabs>
          <w:tab w:val="left" w:pos="7260"/>
        </w:tabs>
        <w:jc w:val="both"/>
        <w:rPr>
          <w:rFonts w:ascii="Montserrat" w:eastAsia="Times New Roman" w:hAnsi="Montserrat" w:cs="Arial"/>
        </w:rPr>
      </w:pPr>
    </w:p>
    <w:p w14:paraId="6C750EF8"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Desmantelamiento de activos, procedimientos, implicaciones, efectos contables.</w:t>
      </w:r>
    </w:p>
    <w:p w14:paraId="61CC27DE" w14:textId="1A3EFC70" w:rsidR="00B0059B" w:rsidRPr="00726BD5" w:rsidRDefault="00D56D92" w:rsidP="00B0059B">
      <w:pPr>
        <w:tabs>
          <w:tab w:val="left" w:pos="7260"/>
        </w:tabs>
        <w:jc w:val="both"/>
        <w:rPr>
          <w:rFonts w:ascii="Montserrat" w:eastAsia="Times New Roman" w:hAnsi="Montserrat" w:cs="Arial"/>
        </w:rPr>
      </w:pPr>
      <w:r w:rsidRPr="00726BD5">
        <w:rPr>
          <w:rFonts w:ascii="Montserrat" w:eastAsia="Times New Roman" w:hAnsi="Montserrat" w:cs="Arial"/>
        </w:rPr>
        <w:lastRenderedPageBreak/>
        <w:t xml:space="preserve">Se informa que al </w:t>
      </w:r>
      <w:r w:rsidR="00DC7256" w:rsidRPr="00726BD5">
        <w:rPr>
          <w:rFonts w:ascii="Montserrat" w:eastAsia="Times New Roman" w:hAnsi="Montserrat" w:cs="Arial"/>
        </w:rPr>
        <w:t>3</w:t>
      </w:r>
      <w:r w:rsidR="00FA1CDB" w:rsidRPr="00726BD5">
        <w:rPr>
          <w:rFonts w:ascii="Montserrat" w:eastAsia="Times New Roman" w:hAnsi="Montserrat" w:cs="Arial"/>
        </w:rPr>
        <w:t>0</w:t>
      </w:r>
      <w:r w:rsidR="00DC7256" w:rsidRPr="00726BD5">
        <w:rPr>
          <w:rFonts w:ascii="Montserrat" w:eastAsia="Times New Roman" w:hAnsi="Montserrat" w:cs="Arial"/>
        </w:rPr>
        <w:t xml:space="preserve"> de </w:t>
      </w:r>
      <w:r w:rsidR="00FA1CDB" w:rsidRPr="00726BD5">
        <w:rPr>
          <w:rFonts w:ascii="Montserrat" w:eastAsia="Times New Roman" w:hAnsi="Montserrat" w:cs="Arial"/>
        </w:rPr>
        <w:t>junio</w:t>
      </w:r>
      <w:r w:rsidR="00E66438" w:rsidRPr="00726BD5">
        <w:rPr>
          <w:rFonts w:ascii="Montserrat" w:eastAsia="Times New Roman" w:hAnsi="Montserrat" w:cs="Arial"/>
        </w:rPr>
        <w:t xml:space="preserve"> de 2025</w:t>
      </w:r>
      <w:r w:rsidR="00B0059B" w:rsidRPr="00726BD5">
        <w:rPr>
          <w:rFonts w:ascii="Montserrat" w:eastAsia="Times New Roman" w:hAnsi="Montserrat" w:cs="Arial"/>
        </w:rPr>
        <w:t xml:space="preserve"> el Poder Ejecutivo no ha realizado procedimientos para desmantelar activos.</w:t>
      </w:r>
    </w:p>
    <w:p w14:paraId="70225F84" w14:textId="77777777" w:rsidR="00B0059B" w:rsidRPr="00726BD5" w:rsidRDefault="00B0059B" w:rsidP="00B0059B">
      <w:pPr>
        <w:tabs>
          <w:tab w:val="left" w:pos="7260"/>
        </w:tabs>
        <w:jc w:val="both"/>
        <w:rPr>
          <w:rFonts w:ascii="Montserrat" w:eastAsia="Times New Roman" w:hAnsi="Montserrat" w:cs="Arial"/>
        </w:rPr>
      </w:pPr>
    </w:p>
    <w:p w14:paraId="71B72C0F"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Administración de activos; planeación con el objetivo de que el ente los utilice de manera más efectiva.</w:t>
      </w:r>
    </w:p>
    <w:p w14:paraId="1B2224E0"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Adicionalmente, se informa de las principales variaciones en el activo, en cuadros comparativos como sigue:</w:t>
      </w:r>
    </w:p>
    <w:p w14:paraId="3FF722E7" w14:textId="77777777" w:rsidR="00EE01B3" w:rsidRPr="00726BD5" w:rsidRDefault="00EE01B3" w:rsidP="00B0059B">
      <w:pPr>
        <w:tabs>
          <w:tab w:val="left" w:pos="7260"/>
        </w:tabs>
        <w:jc w:val="both"/>
        <w:rPr>
          <w:rFonts w:ascii="Montserrat" w:eastAsia="Times New Roman" w:hAnsi="Montserrat" w:cs="Arial"/>
        </w:rPr>
      </w:pPr>
    </w:p>
    <w:p w14:paraId="3ABDCF1B" w14:textId="77777777" w:rsidR="00B0059B" w:rsidRPr="00726BD5" w:rsidRDefault="00B0059B" w:rsidP="00B81758">
      <w:pPr>
        <w:pStyle w:val="Prrafodelista"/>
        <w:keepNext/>
        <w:widowControl w:val="0"/>
        <w:numPr>
          <w:ilvl w:val="0"/>
          <w:numId w:val="15"/>
        </w:numPr>
        <w:ind w:left="714" w:hanging="357"/>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Inversiones en valores.</w:t>
      </w:r>
    </w:p>
    <w:tbl>
      <w:tblPr>
        <w:tblW w:w="8920" w:type="dxa"/>
        <w:tblCellMar>
          <w:left w:w="70" w:type="dxa"/>
          <w:right w:w="70" w:type="dxa"/>
        </w:tblCellMar>
        <w:tblLook w:val="04A0" w:firstRow="1" w:lastRow="0" w:firstColumn="1" w:lastColumn="0" w:noHBand="0" w:noVBand="1"/>
      </w:tblPr>
      <w:tblGrid>
        <w:gridCol w:w="1273"/>
        <w:gridCol w:w="1770"/>
        <w:gridCol w:w="1896"/>
        <w:gridCol w:w="1993"/>
        <w:gridCol w:w="1988"/>
      </w:tblGrid>
      <w:tr w:rsidR="00FA1CDB" w:rsidRPr="00E859AF" w14:paraId="5205FD14" w14:textId="77777777" w:rsidTr="00FA1CDB">
        <w:trPr>
          <w:trHeight w:val="595"/>
        </w:trPr>
        <w:tc>
          <w:tcPr>
            <w:tcW w:w="1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503115" w14:textId="1AEDB15D" w:rsidR="00FA1CDB" w:rsidRPr="00E859AF" w:rsidRDefault="00FA1CDB" w:rsidP="00FA1CDB">
            <w:pPr>
              <w:jc w:val="center"/>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CUENTA</w:t>
            </w:r>
          </w:p>
        </w:tc>
        <w:tc>
          <w:tcPr>
            <w:tcW w:w="216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F77AFEC" w14:textId="1AA16537" w:rsidR="00FA1CDB" w:rsidRPr="00E859AF" w:rsidRDefault="00FA1CDB" w:rsidP="00FA1CDB">
            <w:pPr>
              <w:jc w:val="center"/>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DESCRIPCIÓN</w:t>
            </w:r>
          </w:p>
        </w:tc>
        <w:tc>
          <w:tcPr>
            <w:tcW w:w="185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DA4BA89" w14:textId="7D2A41BC" w:rsidR="00FA1CDB" w:rsidRPr="00E859AF" w:rsidRDefault="00FA1CDB" w:rsidP="00FA1CDB">
            <w:pPr>
              <w:jc w:val="center"/>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SALDO AL 31 DE DICIEMBRE DE 2024</w:t>
            </w:r>
          </w:p>
        </w:tc>
        <w:tc>
          <w:tcPr>
            <w:tcW w:w="181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9516C0" w14:textId="0D50FF0B" w:rsidR="00FA1CDB" w:rsidRPr="00E859AF" w:rsidRDefault="00FA1CDB" w:rsidP="00FA1CDB">
            <w:pPr>
              <w:jc w:val="center"/>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SALDO AL 30 DE JUNIO DE 2025</w:t>
            </w:r>
          </w:p>
        </w:tc>
        <w:tc>
          <w:tcPr>
            <w:tcW w:w="182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9969CB0" w14:textId="127A9EBA" w:rsidR="00FA1CDB" w:rsidRPr="00E859AF" w:rsidRDefault="00FA1CDB" w:rsidP="00FA1CDB">
            <w:pPr>
              <w:jc w:val="center"/>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DIFERENCIA</w:t>
            </w:r>
          </w:p>
        </w:tc>
      </w:tr>
      <w:tr w:rsidR="00FA1CDB" w:rsidRPr="00E859AF" w14:paraId="73B098B6" w14:textId="77777777" w:rsidTr="00FA1CDB">
        <w:trPr>
          <w:trHeight w:val="30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4ACACCBE" w14:textId="6AE8C340" w:rsidR="00FA1CDB" w:rsidRPr="00E859AF" w:rsidRDefault="00FA1CDB" w:rsidP="00FA1CDB">
            <w:pPr>
              <w:rPr>
                <w:rFonts w:ascii="Montserrat" w:eastAsia="Times New Roman" w:hAnsi="Montserrat" w:cs="Calibri"/>
                <w:color w:val="000000"/>
                <w:sz w:val="22"/>
                <w:szCs w:val="22"/>
                <w:lang w:val="es-MX"/>
              </w:rPr>
            </w:pPr>
            <w:r w:rsidRPr="00E859AF">
              <w:rPr>
                <w:rFonts w:ascii="Montserrat" w:hAnsi="Montserrat" w:cs="Calibri"/>
                <w:color w:val="000000"/>
                <w:sz w:val="22"/>
                <w:szCs w:val="22"/>
              </w:rPr>
              <w:t>1.1.1.4.1</w:t>
            </w:r>
          </w:p>
        </w:tc>
        <w:tc>
          <w:tcPr>
            <w:tcW w:w="2165" w:type="dxa"/>
            <w:tcBorders>
              <w:top w:val="nil"/>
              <w:left w:val="nil"/>
              <w:bottom w:val="single" w:sz="4" w:space="0" w:color="auto"/>
              <w:right w:val="single" w:sz="4" w:space="0" w:color="auto"/>
            </w:tcBorders>
            <w:shd w:val="clear" w:color="auto" w:fill="auto"/>
            <w:vAlign w:val="center"/>
            <w:hideMark/>
          </w:tcPr>
          <w:p w14:paraId="611D851D" w14:textId="11C8B1A6" w:rsidR="00FA1CDB" w:rsidRPr="00E859AF" w:rsidRDefault="00FA1CDB" w:rsidP="00FA1CDB">
            <w:pPr>
              <w:rPr>
                <w:rFonts w:ascii="Montserrat" w:eastAsia="Times New Roman" w:hAnsi="Montserrat" w:cs="Calibri"/>
                <w:color w:val="000000"/>
                <w:sz w:val="22"/>
                <w:szCs w:val="22"/>
                <w:lang w:val="es-MX"/>
              </w:rPr>
            </w:pPr>
            <w:r w:rsidRPr="00E859AF">
              <w:rPr>
                <w:rFonts w:ascii="Montserrat" w:hAnsi="Montserrat" w:cs="Calibri"/>
                <w:color w:val="000000"/>
                <w:sz w:val="22"/>
                <w:szCs w:val="22"/>
              </w:rPr>
              <w:t>INVERSIONES EN MONEDA NACIONAL CP</w:t>
            </w:r>
          </w:p>
        </w:tc>
        <w:tc>
          <w:tcPr>
            <w:tcW w:w="1857" w:type="dxa"/>
            <w:tcBorders>
              <w:top w:val="nil"/>
              <w:left w:val="nil"/>
              <w:bottom w:val="single" w:sz="4" w:space="0" w:color="auto"/>
              <w:right w:val="single" w:sz="4" w:space="0" w:color="auto"/>
            </w:tcBorders>
            <w:shd w:val="clear" w:color="auto" w:fill="auto"/>
            <w:vAlign w:val="center"/>
            <w:hideMark/>
          </w:tcPr>
          <w:p w14:paraId="44889F8C" w14:textId="3F6F8176"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3,157,286,962.13</w:t>
            </w:r>
          </w:p>
        </w:tc>
        <w:tc>
          <w:tcPr>
            <w:tcW w:w="1818" w:type="dxa"/>
            <w:tcBorders>
              <w:top w:val="nil"/>
              <w:left w:val="nil"/>
              <w:bottom w:val="single" w:sz="4" w:space="0" w:color="auto"/>
              <w:right w:val="single" w:sz="4" w:space="0" w:color="auto"/>
            </w:tcBorders>
            <w:shd w:val="clear" w:color="auto" w:fill="auto"/>
            <w:vAlign w:val="center"/>
            <w:hideMark/>
          </w:tcPr>
          <w:p w14:paraId="485D9AEC" w14:textId="5D77DF94"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9,615,348,334.89</w:t>
            </w:r>
          </w:p>
        </w:tc>
        <w:tc>
          <w:tcPr>
            <w:tcW w:w="1821" w:type="dxa"/>
            <w:tcBorders>
              <w:top w:val="nil"/>
              <w:left w:val="nil"/>
              <w:bottom w:val="single" w:sz="4" w:space="0" w:color="auto"/>
              <w:right w:val="single" w:sz="4" w:space="0" w:color="auto"/>
            </w:tcBorders>
            <w:shd w:val="clear" w:color="auto" w:fill="auto"/>
            <w:vAlign w:val="center"/>
            <w:hideMark/>
          </w:tcPr>
          <w:p w14:paraId="4A0D1A23" w14:textId="71408498"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6,458,061,372.76</w:t>
            </w:r>
          </w:p>
        </w:tc>
      </w:tr>
      <w:tr w:rsidR="00FA1CDB" w:rsidRPr="00E859AF" w14:paraId="715CA4AC" w14:textId="77777777" w:rsidTr="00FA1CDB">
        <w:trPr>
          <w:trHeight w:val="30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58DF82D0" w14:textId="4D88C996" w:rsidR="00FA1CDB" w:rsidRPr="00E859AF" w:rsidRDefault="00FA1CDB" w:rsidP="00FA1CDB">
            <w:pPr>
              <w:rPr>
                <w:rFonts w:ascii="Montserrat" w:eastAsia="Times New Roman" w:hAnsi="Montserrat" w:cs="Calibri"/>
                <w:color w:val="000000"/>
                <w:sz w:val="22"/>
                <w:szCs w:val="22"/>
                <w:lang w:val="es-MX"/>
              </w:rPr>
            </w:pPr>
            <w:r w:rsidRPr="00E859AF">
              <w:rPr>
                <w:rFonts w:ascii="Montserrat" w:hAnsi="Montserrat" w:cs="Calibri"/>
                <w:color w:val="000000"/>
                <w:sz w:val="22"/>
                <w:szCs w:val="22"/>
              </w:rPr>
              <w:t>1.1.1.4.1.001</w:t>
            </w:r>
          </w:p>
        </w:tc>
        <w:tc>
          <w:tcPr>
            <w:tcW w:w="2165" w:type="dxa"/>
            <w:tcBorders>
              <w:top w:val="nil"/>
              <w:left w:val="nil"/>
              <w:bottom w:val="single" w:sz="4" w:space="0" w:color="auto"/>
              <w:right w:val="single" w:sz="4" w:space="0" w:color="auto"/>
            </w:tcBorders>
            <w:shd w:val="clear" w:color="auto" w:fill="auto"/>
            <w:vAlign w:val="center"/>
            <w:hideMark/>
          </w:tcPr>
          <w:p w14:paraId="11AA59C8" w14:textId="0BB8A675" w:rsidR="00FA1CDB" w:rsidRPr="00E859AF" w:rsidRDefault="00FA1CDB" w:rsidP="00FA1CDB">
            <w:pPr>
              <w:rPr>
                <w:rFonts w:ascii="Montserrat" w:eastAsia="Times New Roman" w:hAnsi="Montserrat" w:cs="Calibri"/>
                <w:color w:val="000000"/>
                <w:sz w:val="22"/>
                <w:szCs w:val="22"/>
                <w:lang w:val="es-MX"/>
              </w:rPr>
            </w:pPr>
            <w:r w:rsidRPr="00E859AF">
              <w:rPr>
                <w:rFonts w:ascii="Montserrat" w:hAnsi="Montserrat" w:cs="Calibri"/>
                <w:color w:val="000000"/>
                <w:sz w:val="22"/>
                <w:szCs w:val="22"/>
              </w:rPr>
              <w:t>BANAMEX</w:t>
            </w:r>
          </w:p>
        </w:tc>
        <w:tc>
          <w:tcPr>
            <w:tcW w:w="1857" w:type="dxa"/>
            <w:tcBorders>
              <w:top w:val="nil"/>
              <w:left w:val="nil"/>
              <w:bottom w:val="single" w:sz="4" w:space="0" w:color="auto"/>
              <w:right w:val="single" w:sz="4" w:space="0" w:color="auto"/>
            </w:tcBorders>
            <w:shd w:val="clear" w:color="auto" w:fill="auto"/>
            <w:vAlign w:val="center"/>
            <w:hideMark/>
          </w:tcPr>
          <w:p w14:paraId="4F42F691" w14:textId="516CDFE2"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362,771,676.26</w:t>
            </w:r>
          </w:p>
        </w:tc>
        <w:tc>
          <w:tcPr>
            <w:tcW w:w="1818" w:type="dxa"/>
            <w:tcBorders>
              <w:top w:val="nil"/>
              <w:left w:val="nil"/>
              <w:bottom w:val="single" w:sz="4" w:space="0" w:color="auto"/>
              <w:right w:val="single" w:sz="4" w:space="0" w:color="auto"/>
            </w:tcBorders>
            <w:shd w:val="clear" w:color="auto" w:fill="auto"/>
            <w:vAlign w:val="center"/>
            <w:hideMark/>
          </w:tcPr>
          <w:p w14:paraId="56F9F942" w14:textId="1A51E2A6"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2,530,220,988.99</w:t>
            </w:r>
          </w:p>
        </w:tc>
        <w:tc>
          <w:tcPr>
            <w:tcW w:w="1821" w:type="dxa"/>
            <w:tcBorders>
              <w:top w:val="nil"/>
              <w:left w:val="nil"/>
              <w:bottom w:val="single" w:sz="4" w:space="0" w:color="auto"/>
              <w:right w:val="single" w:sz="4" w:space="0" w:color="auto"/>
            </w:tcBorders>
            <w:shd w:val="clear" w:color="auto" w:fill="auto"/>
            <w:vAlign w:val="center"/>
            <w:hideMark/>
          </w:tcPr>
          <w:p w14:paraId="4EDC37FC" w14:textId="48C1B814"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2,167,449,312.73</w:t>
            </w:r>
          </w:p>
        </w:tc>
      </w:tr>
      <w:tr w:rsidR="00FA1CDB" w:rsidRPr="00E859AF" w14:paraId="4C36F5C3" w14:textId="77777777" w:rsidTr="00FA1CDB">
        <w:trPr>
          <w:trHeight w:val="30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0A264A6E" w14:textId="34EC2226" w:rsidR="00FA1CDB" w:rsidRPr="00E859AF" w:rsidRDefault="00FA1CDB" w:rsidP="00FA1CDB">
            <w:pPr>
              <w:rPr>
                <w:rFonts w:ascii="Montserrat" w:eastAsia="Times New Roman" w:hAnsi="Montserrat" w:cs="Calibri"/>
                <w:color w:val="000000"/>
                <w:sz w:val="22"/>
                <w:szCs w:val="22"/>
                <w:lang w:val="es-MX"/>
              </w:rPr>
            </w:pPr>
            <w:r w:rsidRPr="00E859AF">
              <w:rPr>
                <w:rFonts w:ascii="Montserrat" w:hAnsi="Montserrat" w:cs="Calibri"/>
                <w:color w:val="000000"/>
                <w:sz w:val="22"/>
                <w:szCs w:val="22"/>
              </w:rPr>
              <w:t>1.1.1.4.1.002</w:t>
            </w:r>
          </w:p>
        </w:tc>
        <w:tc>
          <w:tcPr>
            <w:tcW w:w="2165" w:type="dxa"/>
            <w:tcBorders>
              <w:top w:val="nil"/>
              <w:left w:val="nil"/>
              <w:bottom w:val="single" w:sz="4" w:space="0" w:color="auto"/>
              <w:right w:val="single" w:sz="4" w:space="0" w:color="auto"/>
            </w:tcBorders>
            <w:shd w:val="clear" w:color="auto" w:fill="auto"/>
            <w:vAlign w:val="center"/>
            <w:hideMark/>
          </w:tcPr>
          <w:p w14:paraId="7A021FD2" w14:textId="6FFC7405" w:rsidR="00FA1CDB" w:rsidRPr="00E859AF" w:rsidRDefault="00FA1CDB" w:rsidP="00FA1CDB">
            <w:pPr>
              <w:rPr>
                <w:rFonts w:ascii="Montserrat" w:eastAsia="Times New Roman" w:hAnsi="Montserrat" w:cs="Calibri"/>
                <w:color w:val="000000"/>
                <w:sz w:val="22"/>
                <w:szCs w:val="22"/>
                <w:lang w:val="es-MX"/>
              </w:rPr>
            </w:pPr>
            <w:r w:rsidRPr="00E859AF">
              <w:rPr>
                <w:rFonts w:ascii="Montserrat" w:hAnsi="Montserrat" w:cs="Calibri"/>
                <w:color w:val="000000"/>
                <w:sz w:val="22"/>
                <w:szCs w:val="22"/>
              </w:rPr>
              <w:t>BBVA BANCOMER, S.A.</w:t>
            </w:r>
          </w:p>
        </w:tc>
        <w:tc>
          <w:tcPr>
            <w:tcW w:w="1857" w:type="dxa"/>
            <w:tcBorders>
              <w:top w:val="nil"/>
              <w:left w:val="nil"/>
              <w:bottom w:val="single" w:sz="4" w:space="0" w:color="auto"/>
              <w:right w:val="single" w:sz="4" w:space="0" w:color="auto"/>
            </w:tcBorders>
            <w:shd w:val="clear" w:color="auto" w:fill="auto"/>
            <w:vAlign w:val="center"/>
            <w:hideMark/>
          </w:tcPr>
          <w:p w14:paraId="3E8BAE87" w14:textId="5122EB1F"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1,030,158,081.20</w:t>
            </w:r>
          </w:p>
        </w:tc>
        <w:tc>
          <w:tcPr>
            <w:tcW w:w="1818" w:type="dxa"/>
            <w:tcBorders>
              <w:top w:val="nil"/>
              <w:left w:val="nil"/>
              <w:bottom w:val="single" w:sz="4" w:space="0" w:color="auto"/>
              <w:right w:val="single" w:sz="4" w:space="0" w:color="auto"/>
            </w:tcBorders>
            <w:shd w:val="clear" w:color="auto" w:fill="auto"/>
            <w:vAlign w:val="center"/>
            <w:hideMark/>
          </w:tcPr>
          <w:p w14:paraId="0FB358F9" w14:textId="5B9C6CB1"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972,481,858.17</w:t>
            </w:r>
          </w:p>
        </w:tc>
        <w:tc>
          <w:tcPr>
            <w:tcW w:w="1821" w:type="dxa"/>
            <w:tcBorders>
              <w:top w:val="nil"/>
              <w:left w:val="nil"/>
              <w:bottom w:val="single" w:sz="4" w:space="0" w:color="auto"/>
              <w:right w:val="single" w:sz="4" w:space="0" w:color="auto"/>
            </w:tcBorders>
            <w:shd w:val="clear" w:color="auto" w:fill="auto"/>
            <w:vAlign w:val="center"/>
            <w:hideMark/>
          </w:tcPr>
          <w:p w14:paraId="6E68F975" w14:textId="5029ABDC"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-57,676,223.03</w:t>
            </w:r>
          </w:p>
        </w:tc>
      </w:tr>
      <w:tr w:rsidR="00FA1CDB" w:rsidRPr="00E859AF" w14:paraId="1675DB38" w14:textId="77777777" w:rsidTr="00FA1CDB">
        <w:trPr>
          <w:trHeight w:val="30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737F2835" w14:textId="10A5DC32" w:rsidR="00FA1CDB" w:rsidRPr="00E859AF" w:rsidRDefault="00FA1CDB" w:rsidP="00FA1CDB">
            <w:pPr>
              <w:rPr>
                <w:rFonts w:ascii="Montserrat" w:eastAsia="Times New Roman" w:hAnsi="Montserrat" w:cs="Calibri"/>
                <w:color w:val="000000"/>
                <w:sz w:val="22"/>
                <w:szCs w:val="22"/>
                <w:lang w:val="es-MX"/>
              </w:rPr>
            </w:pPr>
            <w:r w:rsidRPr="00E859AF">
              <w:rPr>
                <w:rFonts w:ascii="Montserrat" w:hAnsi="Montserrat" w:cs="Calibri"/>
                <w:color w:val="000000"/>
                <w:sz w:val="22"/>
                <w:szCs w:val="22"/>
              </w:rPr>
              <w:t>1.1.1.4.1.003</w:t>
            </w:r>
          </w:p>
        </w:tc>
        <w:tc>
          <w:tcPr>
            <w:tcW w:w="2165" w:type="dxa"/>
            <w:tcBorders>
              <w:top w:val="nil"/>
              <w:left w:val="nil"/>
              <w:bottom w:val="single" w:sz="4" w:space="0" w:color="auto"/>
              <w:right w:val="single" w:sz="4" w:space="0" w:color="auto"/>
            </w:tcBorders>
            <w:shd w:val="clear" w:color="auto" w:fill="auto"/>
            <w:vAlign w:val="center"/>
            <w:hideMark/>
          </w:tcPr>
          <w:p w14:paraId="70366872" w14:textId="1C9D34C6" w:rsidR="00FA1CDB" w:rsidRPr="00E859AF" w:rsidRDefault="00FA1CDB" w:rsidP="00FA1CDB">
            <w:pPr>
              <w:rPr>
                <w:rFonts w:ascii="Montserrat" w:eastAsia="Times New Roman" w:hAnsi="Montserrat" w:cs="Calibri"/>
                <w:color w:val="000000"/>
                <w:sz w:val="22"/>
                <w:szCs w:val="22"/>
                <w:lang w:val="es-MX"/>
              </w:rPr>
            </w:pPr>
            <w:r w:rsidRPr="00E859AF">
              <w:rPr>
                <w:rFonts w:ascii="Montserrat" w:hAnsi="Montserrat" w:cs="Calibri"/>
                <w:color w:val="000000"/>
                <w:sz w:val="22"/>
                <w:szCs w:val="22"/>
              </w:rPr>
              <w:t>HSBC</w:t>
            </w:r>
          </w:p>
        </w:tc>
        <w:tc>
          <w:tcPr>
            <w:tcW w:w="1857" w:type="dxa"/>
            <w:tcBorders>
              <w:top w:val="nil"/>
              <w:left w:val="nil"/>
              <w:bottom w:val="single" w:sz="4" w:space="0" w:color="auto"/>
              <w:right w:val="single" w:sz="4" w:space="0" w:color="auto"/>
            </w:tcBorders>
            <w:shd w:val="clear" w:color="auto" w:fill="auto"/>
            <w:vAlign w:val="center"/>
            <w:hideMark/>
          </w:tcPr>
          <w:p w14:paraId="7251CC88" w14:textId="1B2CA7C0"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456,815,505.12</w:t>
            </w:r>
          </w:p>
        </w:tc>
        <w:tc>
          <w:tcPr>
            <w:tcW w:w="1818" w:type="dxa"/>
            <w:tcBorders>
              <w:top w:val="nil"/>
              <w:left w:val="nil"/>
              <w:bottom w:val="single" w:sz="4" w:space="0" w:color="auto"/>
              <w:right w:val="single" w:sz="4" w:space="0" w:color="auto"/>
            </w:tcBorders>
            <w:shd w:val="clear" w:color="auto" w:fill="auto"/>
            <w:vAlign w:val="center"/>
            <w:hideMark/>
          </w:tcPr>
          <w:p w14:paraId="472065A2" w14:textId="0A9E5268"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529,582,384.00</w:t>
            </w:r>
          </w:p>
        </w:tc>
        <w:tc>
          <w:tcPr>
            <w:tcW w:w="1821" w:type="dxa"/>
            <w:tcBorders>
              <w:top w:val="nil"/>
              <w:left w:val="nil"/>
              <w:bottom w:val="single" w:sz="4" w:space="0" w:color="auto"/>
              <w:right w:val="single" w:sz="4" w:space="0" w:color="auto"/>
            </w:tcBorders>
            <w:shd w:val="clear" w:color="auto" w:fill="auto"/>
            <w:vAlign w:val="center"/>
            <w:hideMark/>
          </w:tcPr>
          <w:p w14:paraId="40E7C4CE" w14:textId="0CE949B7"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72,766,878.88</w:t>
            </w:r>
          </w:p>
        </w:tc>
      </w:tr>
      <w:tr w:rsidR="00FA1CDB" w:rsidRPr="00E859AF" w14:paraId="79A1D126" w14:textId="77777777" w:rsidTr="00FA1CDB">
        <w:trPr>
          <w:trHeight w:val="30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4267B8A7" w14:textId="41826748" w:rsidR="00FA1CDB" w:rsidRPr="00E859AF" w:rsidRDefault="00FA1CDB" w:rsidP="00FA1CDB">
            <w:pPr>
              <w:rPr>
                <w:rFonts w:ascii="Montserrat" w:eastAsia="Times New Roman" w:hAnsi="Montserrat" w:cs="Calibri"/>
                <w:color w:val="000000"/>
                <w:sz w:val="22"/>
                <w:szCs w:val="22"/>
                <w:lang w:val="es-MX"/>
              </w:rPr>
            </w:pPr>
            <w:r w:rsidRPr="00E859AF">
              <w:rPr>
                <w:rFonts w:ascii="Montserrat" w:hAnsi="Montserrat" w:cs="Calibri"/>
                <w:color w:val="000000"/>
                <w:sz w:val="22"/>
                <w:szCs w:val="22"/>
              </w:rPr>
              <w:t>1.1.1.4.1.004</w:t>
            </w:r>
          </w:p>
        </w:tc>
        <w:tc>
          <w:tcPr>
            <w:tcW w:w="2165" w:type="dxa"/>
            <w:tcBorders>
              <w:top w:val="nil"/>
              <w:left w:val="nil"/>
              <w:bottom w:val="single" w:sz="4" w:space="0" w:color="auto"/>
              <w:right w:val="single" w:sz="4" w:space="0" w:color="auto"/>
            </w:tcBorders>
            <w:shd w:val="clear" w:color="auto" w:fill="auto"/>
            <w:vAlign w:val="center"/>
            <w:hideMark/>
          </w:tcPr>
          <w:p w14:paraId="2023B92F" w14:textId="023E2BC3" w:rsidR="00FA1CDB" w:rsidRPr="00E859AF" w:rsidRDefault="00FA1CDB" w:rsidP="00FA1CDB">
            <w:pPr>
              <w:rPr>
                <w:rFonts w:ascii="Montserrat" w:eastAsia="Times New Roman" w:hAnsi="Montserrat" w:cs="Calibri"/>
                <w:color w:val="000000"/>
                <w:sz w:val="22"/>
                <w:szCs w:val="22"/>
                <w:lang w:val="es-MX"/>
              </w:rPr>
            </w:pPr>
            <w:r w:rsidRPr="00E859AF">
              <w:rPr>
                <w:rFonts w:ascii="Montserrat" w:hAnsi="Montserrat" w:cs="Calibri"/>
                <w:color w:val="000000"/>
                <w:sz w:val="22"/>
                <w:szCs w:val="22"/>
              </w:rPr>
              <w:t>SCOTIABANK</w:t>
            </w:r>
          </w:p>
        </w:tc>
        <w:tc>
          <w:tcPr>
            <w:tcW w:w="1857" w:type="dxa"/>
            <w:tcBorders>
              <w:top w:val="nil"/>
              <w:left w:val="nil"/>
              <w:bottom w:val="single" w:sz="4" w:space="0" w:color="auto"/>
              <w:right w:val="single" w:sz="4" w:space="0" w:color="auto"/>
            </w:tcBorders>
            <w:shd w:val="clear" w:color="auto" w:fill="auto"/>
            <w:vAlign w:val="center"/>
            <w:hideMark/>
          </w:tcPr>
          <w:p w14:paraId="158403BD" w14:textId="70D6297E"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387,463,583.40</w:t>
            </w:r>
          </w:p>
        </w:tc>
        <w:tc>
          <w:tcPr>
            <w:tcW w:w="1818" w:type="dxa"/>
            <w:tcBorders>
              <w:top w:val="nil"/>
              <w:left w:val="nil"/>
              <w:bottom w:val="single" w:sz="4" w:space="0" w:color="auto"/>
              <w:right w:val="single" w:sz="4" w:space="0" w:color="auto"/>
            </w:tcBorders>
            <w:shd w:val="clear" w:color="auto" w:fill="auto"/>
            <w:vAlign w:val="center"/>
            <w:hideMark/>
          </w:tcPr>
          <w:p w14:paraId="04901DF7" w14:textId="7B536541"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2,887,136,107.72</w:t>
            </w:r>
          </w:p>
        </w:tc>
        <w:tc>
          <w:tcPr>
            <w:tcW w:w="1821" w:type="dxa"/>
            <w:tcBorders>
              <w:top w:val="nil"/>
              <w:left w:val="nil"/>
              <w:bottom w:val="single" w:sz="4" w:space="0" w:color="auto"/>
              <w:right w:val="single" w:sz="4" w:space="0" w:color="auto"/>
            </w:tcBorders>
            <w:shd w:val="clear" w:color="auto" w:fill="auto"/>
            <w:vAlign w:val="center"/>
            <w:hideMark/>
          </w:tcPr>
          <w:p w14:paraId="27DA37F7" w14:textId="1099DB81"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2,499,672,524.32</w:t>
            </w:r>
          </w:p>
        </w:tc>
      </w:tr>
      <w:tr w:rsidR="00FA1CDB" w:rsidRPr="00E859AF" w14:paraId="560C5695" w14:textId="77777777" w:rsidTr="00FA1CDB">
        <w:trPr>
          <w:trHeight w:val="30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4FE19783" w14:textId="3DA4BC8B" w:rsidR="00FA1CDB" w:rsidRPr="00E859AF" w:rsidRDefault="00FA1CDB" w:rsidP="00FA1CDB">
            <w:pPr>
              <w:rPr>
                <w:rFonts w:ascii="Montserrat" w:eastAsia="Times New Roman" w:hAnsi="Montserrat" w:cs="Calibri"/>
                <w:color w:val="000000"/>
                <w:sz w:val="22"/>
                <w:szCs w:val="22"/>
                <w:lang w:val="es-MX"/>
              </w:rPr>
            </w:pPr>
            <w:r w:rsidRPr="00E859AF">
              <w:rPr>
                <w:rFonts w:ascii="Montserrat" w:hAnsi="Montserrat" w:cs="Calibri"/>
                <w:color w:val="000000"/>
                <w:sz w:val="22"/>
                <w:szCs w:val="22"/>
              </w:rPr>
              <w:t>1.1.1.4.1.005</w:t>
            </w:r>
          </w:p>
        </w:tc>
        <w:tc>
          <w:tcPr>
            <w:tcW w:w="2165" w:type="dxa"/>
            <w:tcBorders>
              <w:top w:val="nil"/>
              <w:left w:val="nil"/>
              <w:bottom w:val="single" w:sz="4" w:space="0" w:color="auto"/>
              <w:right w:val="single" w:sz="4" w:space="0" w:color="auto"/>
            </w:tcBorders>
            <w:shd w:val="clear" w:color="auto" w:fill="auto"/>
            <w:vAlign w:val="center"/>
            <w:hideMark/>
          </w:tcPr>
          <w:p w14:paraId="1C7E6E69" w14:textId="3D146085" w:rsidR="00FA1CDB" w:rsidRPr="00E859AF" w:rsidRDefault="00FA1CDB" w:rsidP="00FA1CDB">
            <w:pPr>
              <w:rPr>
                <w:rFonts w:ascii="Montserrat" w:eastAsia="Times New Roman" w:hAnsi="Montserrat" w:cs="Calibri"/>
                <w:color w:val="000000"/>
                <w:sz w:val="22"/>
                <w:szCs w:val="22"/>
                <w:lang w:val="es-MX"/>
              </w:rPr>
            </w:pPr>
            <w:r w:rsidRPr="00E859AF">
              <w:rPr>
                <w:rFonts w:ascii="Montserrat" w:hAnsi="Montserrat" w:cs="Calibri"/>
                <w:color w:val="000000"/>
                <w:sz w:val="22"/>
                <w:szCs w:val="22"/>
              </w:rPr>
              <w:t>SANTANDER</w:t>
            </w:r>
          </w:p>
        </w:tc>
        <w:tc>
          <w:tcPr>
            <w:tcW w:w="1857" w:type="dxa"/>
            <w:tcBorders>
              <w:top w:val="nil"/>
              <w:left w:val="nil"/>
              <w:bottom w:val="single" w:sz="4" w:space="0" w:color="auto"/>
              <w:right w:val="single" w:sz="4" w:space="0" w:color="auto"/>
            </w:tcBorders>
            <w:shd w:val="clear" w:color="auto" w:fill="auto"/>
            <w:vAlign w:val="center"/>
            <w:hideMark/>
          </w:tcPr>
          <w:p w14:paraId="395E6240" w14:textId="75064721"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331,157,126.07</w:t>
            </w:r>
          </w:p>
        </w:tc>
        <w:tc>
          <w:tcPr>
            <w:tcW w:w="1818" w:type="dxa"/>
            <w:tcBorders>
              <w:top w:val="nil"/>
              <w:left w:val="nil"/>
              <w:bottom w:val="single" w:sz="4" w:space="0" w:color="auto"/>
              <w:right w:val="single" w:sz="4" w:space="0" w:color="auto"/>
            </w:tcBorders>
            <w:shd w:val="clear" w:color="auto" w:fill="auto"/>
            <w:vAlign w:val="center"/>
            <w:hideMark/>
          </w:tcPr>
          <w:p w14:paraId="74EBFC40" w14:textId="16C41F39"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2,131,096,125.90</w:t>
            </w:r>
          </w:p>
        </w:tc>
        <w:tc>
          <w:tcPr>
            <w:tcW w:w="1821" w:type="dxa"/>
            <w:tcBorders>
              <w:top w:val="nil"/>
              <w:left w:val="nil"/>
              <w:bottom w:val="single" w:sz="4" w:space="0" w:color="auto"/>
              <w:right w:val="single" w:sz="4" w:space="0" w:color="auto"/>
            </w:tcBorders>
            <w:shd w:val="clear" w:color="auto" w:fill="auto"/>
            <w:vAlign w:val="center"/>
            <w:hideMark/>
          </w:tcPr>
          <w:p w14:paraId="1C391CA3" w14:textId="68E0EB93"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1,799,938,999.83</w:t>
            </w:r>
          </w:p>
        </w:tc>
      </w:tr>
      <w:tr w:rsidR="00FA1CDB" w:rsidRPr="00E859AF" w14:paraId="6BFE69EB" w14:textId="77777777" w:rsidTr="00FA1CDB">
        <w:trPr>
          <w:trHeight w:val="30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326262E7" w14:textId="62EE31C6" w:rsidR="00FA1CDB" w:rsidRPr="00E859AF" w:rsidRDefault="00FA1CDB" w:rsidP="00FA1CDB">
            <w:pPr>
              <w:rPr>
                <w:rFonts w:ascii="Montserrat" w:eastAsia="Times New Roman" w:hAnsi="Montserrat" w:cs="Calibri"/>
                <w:color w:val="000000"/>
                <w:sz w:val="22"/>
                <w:szCs w:val="22"/>
                <w:lang w:val="es-MX"/>
              </w:rPr>
            </w:pPr>
            <w:r w:rsidRPr="00E859AF">
              <w:rPr>
                <w:rFonts w:ascii="Montserrat" w:hAnsi="Montserrat" w:cs="Calibri"/>
                <w:color w:val="000000"/>
                <w:sz w:val="22"/>
                <w:szCs w:val="22"/>
              </w:rPr>
              <w:t>1.1.1.4.1.007</w:t>
            </w:r>
          </w:p>
        </w:tc>
        <w:tc>
          <w:tcPr>
            <w:tcW w:w="2165" w:type="dxa"/>
            <w:tcBorders>
              <w:top w:val="nil"/>
              <w:left w:val="nil"/>
              <w:bottom w:val="single" w:sz="4" w:space="0" w:color="auto"/>
              <w:right w:val="single" w:sz="4" w:space="0" w:color="auto"/>
            </w:tcBorders>
            <w:shd w:val="clear" w:color="auto" w:fill="auto"/>
            <w:vAlign w:val="center"/>
            <w:hideMark/>
          </w:tcPr>
          <w:p w14:paraId="03790A6B" w14:textId="63E1AF51" w:rsidR="00FA1CDB" w:rsidRPr="00E859AF" w:rsidRDefault="00FA1CDB" w:rsidP="00FA1CDB">
            <w:pPr>
              <w:rPr>
                <w:rFonts w:ascii="Montserrat" w:eastAsia="Times New Roman" w:hAnsi="Montserrat" w:cs="Calibri"/>
                <w:color w:val="000000"/>
                <w:sz w:val="22"/>
                <w:szCs w:val="22"/>
                <w:lang w:val="es-MX"/>
              </w:rPr>
            </w:pPr>
            <w:r w:rsidRPr="00E859AF">
              <w:rPr>
                <w:rFonts w:ascii="Montserrat" w:hAnsi="Montserrat" w:cs="Calibri"/>
                <w:color w:val="000000"/>
                <w:sz w:val="22"/>
                <w:szCs w:val="22"/>
              </w:rPr>
              <w:t>BANORTE</w:t>
            </w:r>
          </w:p>
        </w:tc>
        <w:tc>
          <w:tcPr>
            <w:tcW w:w="1857" w:type="dxa"/>
            <w:tcBorders>
              <w:top w:val="nil"/>
              <w:left w:val="nil"/>
              <w:bottom w:val="single" w:sz="4" w:space="0" w:color="auto"/>
              <w:right w:val="single" w:sz="4" w:space="0" w:color="auto"/>
            </w:tcBorders>
            <w:shd w:val="clear" w:color="auto" w:fill="auto"/>
            <w:vAlign w:val="center"/>
            <w:hideMark/>
          </w:tcPr>
          <w:p w14:paraId="55915DD2" w14:textId="4720AFB7"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69,950,720.19</w:t>
            </w:r>
          </w:p>
        </w:tc>
        <w:tc>
          <w:tcPr>
            <w:tcW w:w="1818" w:type="dxa"/>
            <w:tcBorders>
              <w:top w:val="nil"/>
              <w:left w:val="nil"/>
              <w:bottom w:val="single" w:sz="4" w:space="0" w:color="auto"/>
              <w:right w:val="single" w:sz="4" w:space="0" w:color="auto"/>
            </w:tcBorders>
            <w:shd w:val="clear" w:color="auto" w:fill="auto"/>
            <w:vAlign w:val="center"/>
            <w:hideMark/>
          </w:tcPr>
          <w:p w14:paraId="44C92EE9" w14:textId="7F202344"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71,398,574.44</w:t>
            </w:r>
          </w:p>
        </w:tc>
        <w:tc>
          <w:tcPr>
            <w:tcW w:w="1821" w:type="dxa"/>
            <w:tcBorders>
              <w:top w:val="nil"/>
              <w:left w:val="nil"/>
              <w:bottom w:val="single" w:sz="4" w:space="0" w:color="auto"/>
              <w:right w:val="single" w:sz="4" w:space="0" w:color="auto"/>
            </w:tcBorders>
            <w:shd w:val="clear" w:color="auto" w:fill="auto"/>
            <w:vAlign w:val="center"/>
            <w:hideMark/>
          </w:tcPr>
          <w:p w14:paraId="75197084" w14:textId="0AFC7EF6"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1,447,854.25</w:t>
            </w:r>
          </w:p>
        </w:tc>
      </w:tr>
      <w:tr w:rsidR="00FA1CDB" w:rsidRPr="00E859AF" w14:paraId="3BB5C115" w14:textId="77777777" w:rsidTr="00FA1CDB">
        <w:trPr>
          <w:trHeight w:val="300"/>
        </w:trPr>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240DA" w14:textId="656B7044" w:rsidR="00FA1CDB" w:rsidRPr="00E859AF" w:rsidRDefault="00FA1CDB" w:rsidP="00FA1CDB">
            <w:pPr>
              <w:rPr>
                <w:rFonts w:ascii="Montserrat" w:eastAsia="Times New Roman" w:hAnsi="Montserrat" w:cs="Calibri"/>
                <w:color w:val="000000"/>
                <w:sz w:val="22"/>
                <w:szCs w:val="22"/>
                <w:lang w:val="es-MX"/>
              </w:rPr>
            </w:pPr>
            <w:r w:rsidRPr="00E859AF">
              <w:rPr>
                <w:rFonts w:ascii="Montserrat" w:hAnsi="Montserrat" w:cs="Calibri"/>
                <w:color w:val="000000"/>
                <w:sz w:val="22"/>
                <w:szCs w:val="22"/>
              </w:rPr>
              <w:t>1.1.1.4.1.009</w:t>
            </w:r>
          </w:p>
        </w:tc>
        <w:tc>
          <w:tcPr>
            <w:tcW w:w="2165" w:type="dxa"/>
            <w:tcBorders>
              <w:top w:val="single" w:sz="4" w:space="0" w:color="auto"/>
              <w:left w:val="nil"/>
              <w:bottom w:val="single" w:sz="4" w:space="0" w:color="auto"/>
              <w:right w:val="single" w:sz="4" w:space="0" w:color="auto"/>
            </w:tcBorders>
            <w:shd w:val="clear" w:color="auto" w:fill="auto"/>
            <w:vAlign w:val="center"/>
            <w:hideMark/>
          </w:tcPr>
          <w:p w14:paraId="14EEB501" w14:textId="62070CA8" w:rsidR="00FA1CDB" w:rsidRPr="00E859AF" w:rsidRDefault="00FA1CDB" w:rsidP="00FA1CDB">
            <w:pPr>
              <w:rPr>
                <w:rFonts w:ascii="Montserrat" w:eastAsia="Times New Roman" w:hAnsi="Montserrat" w:cs="Calibri"/>
                <w:color w:val="000000"/>
                <w:sz w:val="22"/>
                <w:szCs w:val="22"/>
                <w:lang w:val="es-MX"/>
              </w:rPr>
            </w:pPr>
            <w:r w:rsidRPr="00E859AF">
              <w:rPr>
                <w:rFonts w:ascii="Montserrat" w:hAnsi="Montserrat" w:cs="Calibri"/>
                <w:color w:val="000000"/>
                <w:sz w:val="22"/>
                <w:szCs w:val="22"/>
              </w:rPr>
              <w:t>BANCO AZTECA</w:t>
            </w:r>
          </w:p>
        </w:tc>
        <w:tc>
          <w:tcPr>
            <w:tcW w:w="1857" w:type="dxa"/>
            <w:tcBorders>
              <w:top w:val="single" w:sz="4" w:space="0" w:color="auto"/>
              <w:left w:val="nil"/>
              <w:bottom w:val="single" w:sz="4" w:space="0" w:color="auto"/>
              <w:right w:val="single" w:sz="4" w:space="0" w:color="auto"/>
            </w:tcBorders>
            <w:shd w:val="clear" w:color="auto" w:fill="auto"/>
            <w:vAlign w:val="center"/>
            <w:hideMark/>
          </w:tcPr>
          <w:p w14:paraId="24A2979E" w14:textId="3EBC5A5D"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518,970,269.89</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0C9F6157" w14:textId="60F3FE5C"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493,432,295.67</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14:paraId="59661162" w14:textId="2F197DF7" w:rsidR="00FA1CDB" w:rsidRPr="00E859AF" w:rsidRDefault="00FA1CDB" w:rsidP="00FA1CDB">
            <w:pPr>
              <w:jc w:val="right"/>
              <w:rPr>
                <w:rFonts w:ascii="Montserrat" w:eastAsia="Times New Roman" w:hAnsi="Montserrat" w:cs="Calibri"/>
                <w:color w:val="000000"/>
                <w:sz w:val="22"/>
                <w:szCs w:val="22"/>
                <w:lang w:val="es-MX"/>
              </w:rPr>
            </w:pPr>
            <w:r w:rsidRPr="00E859AF">
              <w:rPr>
                <w:rFonts w:ascii="Montserrat" w:hAnsi="Montserrat" w:cs="Calibri"/>
                <w:color w:val="000000"/>
                <w:sz w:val="22"/>
                <w:szCs w:val="22"/>
              </w:rPr>
              <w:t>-25,537,974.22</w:t>
            </w:r>
          </w:p>
        </w:tc>
      </w:tr>
      <w:tr w:rsidR="00FA1CDB" w:rsidRPr="00E859AF" w14:paraId="7786BF68" w14:textId="77777777" w:rsidTr="00FA1CDB">
        <w:trPr>
          <w:trHeight w:val="300"/>
        </w:trPr>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1350C490" w14:textId="000241DA" w:rsidR="00FA1CDB" w:rsidRPr="00E859AF" w:rsidRDefault="00FA1CDB" w:rsidP="00FA1CDB">
            <w:pPr>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 </w:t>
            </w:r>
          </w:p>
        </w:tc>
        <w:tc>
          <w:tcPr>
            <w:tcW w:w="2165" w:type="dxa"/>
            <w:tcBorders>
              <w:top w:val="single" w:sz="4" w:space="0" w:color="auto"/>
              <w:left w:val="nil"/>
              <w:bottom w:val="single" w:sz="4" w:space="0" w:color="auto"/>
              <w:right w:val="single" w:sz="4" w:space="0" w:color="auto"/>
            </w:tcBorders>
            <w:shd w:val="clear" w:color="auto" w:fill="auto"/>
            <w:vAlign w:val="center"/>
          </w:tcPr>
          <w:p w14:paraId="1C918C5A" w14:textId="6351B065" w:rsidR="00FA1CDB" w:rsidRPr="00E859AF" w:rsidRDefault="00FA1CDB" w:rsidP="00FA1CDB">
            <w:pPr>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TOTALES</w:t>
            </w:r>
          </w:p>
        </w:tc>
        <w:tc>
          <w:tcPr>
            <w:tcW w:w="1857" w:type="dxa"/>
            <w:tcBorders>
              <w:top w:val="single" w:sz="4" w:space="0" w:color="auto"/>
              <w:left w:val="nil"/>
              <w:bottom w:val="single" w:sz="4" w:space="0" w:color="auto"/>
              <w:right w:val="single" w:sz="4" w:space="0" w:color="auto"/>
            </w:tcBorders>
            <w:shd w:val="clear" w:color="auto" w:fill="auto"/>
            <w:vAlign w:val="center"/>
          </w:tcPr>
          <w:p w14:paraId="16C2207B" w14:textId="38565198" w:rsidR="00FA1CDB" w:rsidRPr="00E859AF" w:rsidRDefault="00FA1CDB" w:rsidP="00FA1CDB">
            <w:pPr>
              <w:jc w:val="right"/>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3,157,286,962.13</w:t>
            </w:r>
          </w:p>
        </w:tc>
        <w:tc>
          <w:tcPr>
            <w:tcW w:w="1818" w:type="dxa"/>
            <w:tcBorders>
              <w:top w:val="single" w:sz="4" w:space="0" w:color="auto"/>
              <w:left w:val="nil"/>
              <w:bottom w:val="single" w:sz="4" w:space="0" w:color="auto"/>
              <w:right w:val="single" w:sz="4" w:space="0" w:color="auto"/>
            </w:tcBorders>
            <w:shd w:val="clear" w:color="auto" w:fill="auto"/>
            <w:vAlign w:val="center"/>
          </w:tcPr>
          <w:p w14:paraId="3064C29C" w14:textId="2293887D" w:rsidR="00FA1CDB" w:rsidRPr="00E859AF" w:rsidRDefault="00FA1CDB" w:rsidP="00FA1CDB">
            <w:pPr>
              <w:jc w:val="right"/>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9,615,348,334.89</w:t>
            </w:r>
          </w:p>
        </w:tc>
        <w:tc>
          <w:tcPr>
            <w:tcW w:w="1821" w:type="dxa"/>
            <w:tcBorders>
              <w:top w:val="single" w:sz="4" w:space="0" w:color="auto"/>
              <w:left w:val="nil"/>
              <w:bottom w:val="single" w:sz="4" w:space="0" w:color="auto"/>
              <w:right w:val="single" w:sz="4" w:space="0" w:color="auto"/>
            </w:tcBorders>
            <w:shd w:val="clear" w:color="auto" w:fill="auto"/>
            <w:vAlign w:val="center"/>
          </w:tcPr>
          <w:p w14:paraId="248AAFCB" w14:textId="2D366595" w:rsidR="00FA1CDB" w:rsidRPr="00E859AF" w:rsidRDefault="00FA1CDB" w:rsidP="00FA1CDB">
            <w:pPr>
              <w:jc w:val="right"/>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6,458,061,372.76</w:t>
            </w:r>
          </w:p>
        </w:tc>
      </w:tr>
    </w:tbl>
    <w:p w14:paraId="3EF6ADA5" w14:textId="7F594D51" w:rsidR="00076F11" w:rsidRPr="00726BD5" w:rsidRDefault="00076F11" w:rsidP="00076F11">
      <w:pPr>
        <w:widowControl w:val="0"/>
        <w:jc w:val="both"/>
        <w:rPr>
          <w:rFonts w:ascii="Montserrat" w:eastAsia="Times New Roman" w:hAnsi="Montserrat" w:cs="Arial"/>
        </w:rPr>
      </w:pPr>
    </w:p>
    <w:p w14:paraId="46D9F9AD"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Patrimonio de Organismos Descentralizados de Control Presupuestario Indirecto.</w:t>
      </w:r>
    </w:p>
    <w:p w14:paraId="334C45BA"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Estado de Oaxaca no cuenta con organismos descentralizados de control presupuestario indirecto</w:t>
      </w:r>
    </w:p>
    <w:p w14:paraId="101BCF48" w14:textId="77777777" w:rsidR="00B0059B" w:rsidRPr="00726BD5" w:rsidRDefault="00B0059B" w:rsidP="00B0059B">
      <w:pPr>
        <w:tabs>
          <w:tab w:val="left" w:pos="7260"/>
        </w:tabs>
        <w:jc w:val="both"/>
        <w:rPr>
          <w:rFonts w:ascii="Montserrat" w:eastAsia="Times New Roman" w:hAnsi="Montserrat" w:cs="Arial"/>
        </w:rPr>
      </w:pPr>
    </w:p>
    <w:p w14:paraId="15EBC76A"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Inversiones en empresas de participación mayoritaria.</w:t>
      </w:r>
    </w:p>
    <w:p w14:paraId="114DE136"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Estado de Oaxaca no cuenta con inversiones en empresas de participación mayoritaria</w:t>
      </w:r>
    </w:p>
    <w:p w14:paraId="73C594D4" w14:textId="77777777" w:rsidR="00B0059B" w:rsidRPr="00726BD5" w:rsidRDefault="00B0059B" w:rsidP="00B0059B">
      <w:pPr>
        <w:tabs>
          <w:tab w:val="left" w:pos="7260"/>
        </w:tabs>
        <w:jc w:val="both"/>
        <w:rPr>
          <w:rFonts w:ascii="Montserrat" w:eastAsia="Times New Roman" w:hAnsi="Montserrat" w:cs="Arial"/>
        </w:rPr>
      </w:pPr>
    </w:p>
    <w:p w14:paraId="7DEB7C67"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 xml:space="preserve"> Inversiones en empresas de participación minoritaria.</w:t>
      </w:r>
    </w:p>
    <w:p w14:paraId="4E107121"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lastRenderedPageBreak/>
        <w:t>El Estado de Oaxaca no cuenta con inversiones en empresas de participación minoritaria</w:t>
      </w:r>
    </w:p>
    <w:p w14:paraId="06FCB7D5" w14:textId="77777777" w:rsidR="00912EC3" w:rsidRPr="00726BD5" w:rsidRDefault="00912EC3" w:rsidP="00B0059B">
      <w:pPr>
        <w:tabs>
          <w:tab w:val="left" w:pos="7260"/>
        </w:tabs>
        <w:jc w:val="both"/>
        <w:rPr>
          <w:rFonts w:ascii="Montserrat" w:eastAsia="Times New Roman" w:hAnsi="Montserrat" w:cs="Arial"/>
        </w:rPr>
      </w:pPr>
    </w:p>
    <w:p w14:paraId="3159A180" w14:textId="77777777" w:rsidR="00912EC3" w:rsidRPr="00726BD5" w:rsidRDefault="00912EC3" w:rsidP="00912EC3">
      <w:pPr>
        <w:pStyle w:val="Prrafodelista"/>
        <w:widowControl w:val="0"/>
        <w:numPr>
          <w:ilvl w:val="0"/>
          <w:numId w:val="18"/>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Patrimonio de Organismos Descentralizados de Control Presupuestario Directo, según corresponda.</w:t>
      </w:r>
    </w:p>
    <w:p w14:paraId="56957D65" w14:textId="2711CB1F" w:rsidR="00912EC3" w:rsidRPr="00726BD5" w:rsidRDefault="00912EC3" w:rsidP="00912EC3">
      <w:pPr>
        <w:tabs>
          <w:tab w:val="left" w:pos="7260"/>
        </w:tabs>
        <w:jc w:val="both"/>
        <w:rPr>
          <w:rFonts w:ascii="Montserrat" w:eastAsia="Times New Roman" w:hAnsi="Montserrat" w:cs="Arial"/>
        </w:rPr>
      </w:pPr>
      <w:r w:rsidRPr="00726BD5">
        <w:rPr>
          <w:rFonts w:ascii="Montserrat" w:eastAsia="Times New Roman" w:hAnsi="Montserrat" w:cs="Arial"/>
        </w:rPr>
        <w:t xml:space="preserve">A continuación, se muestra la lista de Organismos Descentralizados de Control Presupuestario Directo con el patrimonio al </w:t>
      </w:r>
      <w:r w:rsidR="00FA1CDB" w:rsidRPr="00726BD5">
        <w:rPr>
          <w:rFonts w:ascii="Montserrat" w:eastAsia="Times New Roman" w:hAnsi="Montserrat" w:cs="Arial"/>
        </w:rPr>
        <w:t>0</w:t>
      </w:r>
      <w:r w:rsidR="00621D14" w:rsidRPr="00726BD5">
        <w:rPr>
          <w:rFonts w:ascii="Montserrat" w:eastAsia="Times New Roman" w:hAnsi="Montserrat" w:cs="Arial"/>
        </w:rPr>
        <w:t>1</w:t>
      </w:r>
      <w:r w:rsidRPr="00726BD5">
        <w:rPr>
          <w:rFonts w:ascii="Montserrat" w:eastAsia="Times New Roman" w:hAnsi="Montserrat" w:cs="Arial"/>
        </w:rPr>
        <w:t xml:space="preserve"> de </w:t>
      </w:r>
      <w:r w:rsidR="00CA6080" w:rsidRPr="00726BD5">
        <w:rPr>
          <w:rFonts w:ascii="Montserrat" w:eastAsia="Times New Roman" w:hAnsi="Montserrat" w:cs="Arial"/>
        </w:rPr>
        <w:t xml:space="preserve">enero </w:t>
      </w:r>
      <w:r w:rsidRPr="00726BD5">
        <w:rPr>
          <w:rFonts w:ascii="Montserrat" w:eastAsia="Times New Roman" w:hAnsi="Montserrat" w:cs="Arial"/>
        </w:rPr>
        <w:t>de 202</w:t>
      </w:r>
      <w:r w:rsidR="00CA6080" w:rsidRPr="00726BD5">
        <w:rPr>
          <w:rFonts w:ascii="Montserrat" w:eastAsia="Times New Roman" w:hAnsi="Montserrat" w:cs="Arial"/>
        </w:rPr>
        <w:t xml:space="preserve">5 </w:t>
      </w:r>
      <w:r w:rsidRPr="00726BD5">
        <w:rPr>
          <w:rFonts w:ascii="Montserrat" w:eastAsia="Times New Roman" w:hAnsi="Montserrat" w:cs="Arial"/>
        </w:rPr>
        <w:t xml:space="preserve">y </w:t>
      </w:r>
      <w:r w:rsidR="00CA6080" w:rsidRPr="00726BD5">
        <w:rPr>
          <w:rFonts w:ascii="Montserrat" w:eastAsia="Times New Roman" w:hAnsi="Montserrat" w:cs="Arial"/>
        </w:rPr>
        <w:t xml:space="preserve">al </w:t>
      </w:r>
      <w:r w:rsidR="00FA1CDB" w:rsidRPr="00726BD5">
        <w:rPr>
          <w:rFonts w:ascii="Montserrat" w:eastAsia="Times New Roman" w:hAnsi="Montserrat" w:cs="Arial"/>
        </w:rPr>
        <w:t>30 de junio de 2025</w:t>
      </w:r>
      <w:r w:rsidRPr="00726BD5">
        <w:rPr>
          <w:rFonts w:ascii="Montserrat" w:eastAsia="Times New Roman" w:hAnsi="Montserrat" w:cs="Arial"/>
        </w:rPr>
        <w:t xml:space="preserve">, así como su variación, mencionando </w:t>
      </w:r>
      <w:r w:rsidR="00CA6080" w:rsidRPr="00726BD5">
        <w:rPr>
          <w:rFonts w:ascii="Montserrat" w:eastAsia="Times New Roman" w:hAnsi="Montserrat" w:cs="Arial"/>
        </w:rPr>
        <w:t xml:space="preserve">el saldo al inicio del ejercicio refleja el resultado del año 2024; </w:t>
      </w:r>
      <w:r w:rsidRPr="00726BD5">
        <w:rPr>
          <w:rFonts w:ascii="Montserrat" w:eastAsia="Times New Roman" w:hAnsi="Montserrat" w:cs="Arial"/>
        </w:rPr>
        <w:t xml:space="preserve">las explicaciones de </w:t>
      </w:r>
      <w:r w:rsidR="00CA6080" w:rsidRPr="00726BD5">
        <w:rPr>
          <w:rFonts w:ascii="Montserrat" w:eastAsia="Times New Roman" w:hAnsi="Montserrat" w:cs="Arial"/>
        </w:rPr>
        <w:t>las</w:t>
      </w:r>
      <w:r w:rsidRPr="00726BD5">
        <w:rPr>
          <w:rFonts w:ascii="Montserrat" w:eastAsia="Times New Roman" w:hAnsi="Montserrat" w:cs="Arial"/>
        </w:rPr>
        <w:t xml:space="preserve"> variaciones se encontrarán en las notas a los estados financieros correspondiente a cada uno de ellos dentro del Tomo V del </w:t>
      </w:r>
      <w:r w:rsidR="00FA1CDB" w:rsidRPr="00726BD5">
        <w:rPr>
          <w:rFonts w:ascii="Montserrat" w:eastAsia="Times New Roman" w:hAnsi="Montserrat" w:cs="Arial"/>
        </w:rPr>
        <w:t>2do</w:t>
      </w:r>
      <w:r w:rsidRPr="00726BD5">
        <w:rPr>
          <w:rFonts w:ascii="Montserrat" w:eastAsia="Times New Roman" w:hAnsi="Montserrat" w:cs="Arial"/>
        </w:rPr>
        <w:t xml:space="preserve">. Informe </w:t>
      </w:r>
      <w:r w:rsidR="00621D14" w:rsidRPr="00726BD5">
        <w:rPr>
          <w:rFonts w:ascii="Montserrat" w:eastAsia="Times New Roman" w:hAnsi="Montserrat" w:cs="Arial"/>
        </w:rPr>
        <w:t xml:space="preserve">Trimestral </w:t>
      </w:r>
      <w:r w:rsidRPr="00726BD5">
        <w:rPr>
          <w:rFonts w:ascii="Montserrat" w:eastAsia="Times New Roman" w:hAnsi="Montserrat" w:cs="Arial"/>
        </w:rPr>
        <w:t>de Avance de Gestión de 202</w:t>
      </w:r>
      <w:r w:rsidR="001051D7" w:rsidRPr="00726BD5">
        <w:rPr>
          <w:rFonts w:ascii="Montserrat" w:eastAsia="Times New Roman" w:hAnsi="Montserrat" w:cs="Arial"/>
        </w:rPr>
        <w:t>5</w:t>
      </w:r>
      <w:r w:rsidRPr="00726BD5">
        <w:rPr>
          <w:rFonts w:ascii="Montserrat" w:eastAsia="Times New Roman" w:hAnsi="Montserrat" w:cs="Arial"/>
        </w:rPr>
        <w:t>:</w:t>
      </w:r>
    </w:p>
    <w:p w14:paraId="0CA2C696" w14:textId="77777777" w:rsidR="00912EC3" w:rsidRPr="00726BD5" w:rsidRDefault="00912EC3" w:rsidP="00B0059B">
      <w:pPr>
        <w:tabs>
          <w:tab w:val="left" w:pos="7260"/>
        </w:tabs>
        <w:jc w:val="both"/>
        <w:rPr>
          <w:rFonts w:ascii="Montserrat" w:eastAsia="Times New Roman" w:hAnsi="Montserrat" w:cs="Arial"/>
        </w:rPr>
      </w:pPr>
    </w:p>
    <w:tbl>
      <w:tblPr>
        <w:tblW w:w="9346" w:type="dxa"/>
        <w:tblCellMar>
          <w:left w:w="70" w:type="dxa"/>
          <w:right w:w="70" w:type="dxa"/>
        </w:tblCellMar>
        <w:tblLook w:val="04A0" w:firstRow="1" w:lastRow="0" w:firstColumn="1" w:lastColumn="0" w:noHBand="0" w:noVBand="1"/>
      </w:tblPr>
      <w:tblGrid>
        <w:gridCol w:w="841"/>
        <w:gridCol w:w="3544"/>
        <w:gridCol w:w="1701"/>
        <w:gridCol w:w="1701"/>
        <w:gridCol w:w="1559"/>
      </w:tblGrid>
      <w:tr w:rsidR="00CA6080" w:rsidRPr="00E859AF" w14:paraId="4AAB98F7" w14:textId="77777777" w:rsidTr="006B53F3">
        <w:trPr>
          <w:trHeight w:val="915"/>
          <w:tblHeader/>
        </w:trPr>
        <w:tc>
          <w:tcPr>
            <w:tcW w:w="841"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F5CD964" w14:textId="028A9683" w:rsidR="00CA6080" w:rsidRPr="00E859AF" w:rsidRDefault="00CA6080" w:rsidP="006B53F3">
            <w:pPr>
              <w:jc w:val="center"/>
              <w:rPr>
                <w:rFonts w:ascii="Montserrat" w:eastAsia="Times New Roman" w:hAnsi="Montserrat" w:cs="Calibri"/>
                <w:sz w:val="22"/>
                <w:szCs w:val="22"/>
                <w:lang w:val="es-MX"/>
              </w:rPr>
            </w:pPr>
            <w:r w:rsidRPr="00E859AF">
              <w:rPr>
                <w:rFonts w:ascii="Montserrat" w:hAnsi="Montserrat"/>
                <w:sz w:val="22"/>
                <w:szCs w:val="22"/>
              </w:rPr>
              <w:t>UR</w:t>
            </w:r>
          </w:p>
        </w:tc>
        <w:tc>
          <w:tcPr>
            <w:tcW w:w="3544" w:type="dxa"/>
            <w:tcBorders>
              <w:top w:val="single" w:sz="8" w:space="0" w:color="auto"/>
              <w:left w:val="nil"/>
              <w:bottom w:val="single" w:sz="8" w:space="0" w:color="auto"/>
              <w:right w:val="single" w:sz="8" w:space="0" w:color="auto"/>
            </w:tcBorders>
            <w:shd w:val="clear" w:color="000000" w:fill="BFBFBF"/>
            <w:vAlign w:val="center"/>
            <w:hideMark/>
          </w:tcPr>
          <w:p w14:paraId="480C863A" w14:textId="7E8692FC" w:rsidR="00CA6080" w:rsidRPr="00E859AF" w:rsidRDefault="00CA6080" w:rsidP="006B53F3">
            <w:pPr>
              <w:jc w:val="center"/>
              <w:rPr>
                <w:rFonts w:ascii="Montserrat" w:eastAsia="Times New Roman" w:hAnsi="Montserrat" w:cs="Calibri"/>
                <w:b/>
                <w:bCs/>
                <w:color w:val="000000"/>
                <w:sz w:val="22"/>
                <w:szCs w:val="22"/>
                <w:lang w:val="es-MX"/>
              </w:rPr>
            </w:pPr>
            <w:r w:rsidRPr="00E859AF">
              <w:rPr>
                <w:rFonts w:ascii="Montserrat" w:hAnsi="Montserrat"/>
                <w:sz w:val="22"/>
                <w:szCs w:val="22"/>
              </w:rPr>
              <w:t>NOMBRE</w:t>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14:paraId="2386420D" w14:textId="2736C6FF" w:rsidR="00CA6080" w:rsidRPr="00E859AF" w:rsidRDefault="00CA6080" w:rsidP="006B53F3">
            <w:pPr>
              <w:jc w:val="center"/>
              <w:rPr>
                <w:rFonts w:ascii="Montserrat" w:eastAsia="Times New Roman" w:hAnsi="Montserrat" w:cs="Calibri"/>
                <w:b/>
                <w:bCs/>
                <w:color w:val="000000"/>
                <w:sz w:val="22"/>
                <w:szCs w:val="22"/>
                <w:lang w:val="es-MX"/>
              </w:rPr>
            </w:pPr>
            <w:r w:rsidRPr="00E859AF">
              <w:rPr>
                <w:rFonts w:ascii="Montserrat" w:hAnsi="Montserrat"/>
                <w:sz w:val="22"/>
                <w:szCs w:val="22"/>
              </w:rPr>
              <w:t>SALDO AL 01 DE ENERO DE 2025</w:t>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14:paraId="70A0C489" w14:textId="7FBDBF3B" w:rsidR="00CA6080" w:rsidRPr="00E859AF" w:rsidRDefault="00CA6080" w:rsidP="006B53F3">
            <w:pPr>
              <w:jc w:val="center"/>
              <w:rPr>
                <w:rFonts w:ascii="Montserrat" w:eastAsia="Times New Roman" w:hAnsi="Montserrat" w:cs="Calibri"/>
                <w:b/>
                <w:bCs/>
                <w:color w:val="000000"/>
                <w:sz w:val="22"/>
                <w:szCs w:val="22"/>
                <w:lang w:val="es-MX"/>
              </w:rPr>
            </w:pPr>
            <w:r w:rsidRPr="00E859AF">
              <w:rPr>
                <w:rFonts w:ascii="Montserrat" w:hAnsi="Montserrat"/>
                <w:sz w:val="22"/>
                <w:szCs w:val="22"/>
              </w:rPr>
              <w:t>SALDO AL 30 DE JUNIO DE 2025</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62A0B779" w14:textId="103930C7" w:rsidR="00CA6080" w:rsidRPr="00E859AF" w:rsidRDefault="00CA6080" w:rsidP="006B53F3">
            <w:pPr>
              <w:jc w:val="center"/>
              <w:rPr>
                <w:rFonts w:ascii="Montserrat" w:eastAsia="Times New Roman" w:hAnsi="Montserrat" w:cs="Calibri"/>
                <w:b/>
                <w:bCs/>
                <w:color w:val="000000"/>
                <w:sz w:val="22"/>
                <w:szCs w:val="22"/>
                <w:lang w:val="es-MX"/>
              </w:rPr>
            </w:pPr>
            <w:r w:rsidRPr="00E859AF">
              <w:rPr>
                <w:rFonts w:ascii="Montserrat" w:hAnsi="Montserrat"/>
                <w:sz w:val="22"/>
                <w:szCs w:val="22"/>
              </w:rPr>
              <w:t>DIFERENCIA</w:t>
            </w:r>
          </w:p>
        </w:tc>
      </w:tr>
      <w:tr w:rsidR="00CA6080" w:rsidRPr="00E859AF" w14:paraId="4C09A899"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41806CF" w14:textId="121E10CC"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501</w:t>
            </w:r>
          </w:p>
        </w:tc>
        <w:tc>
          <w:tcPr>
            <w:tcW w:w="3544" w:type="dxa"/>
            <w:tcBorders>
              <w:top w:val="nil"/>
              <w:left w:val="nil"/>
              <w:bottom w:val="single" w:sz="8" w:space="0" w:color="auto"/>
              <w:right w:val="single" w:sz="8" w:space="0" w:color="auto"/>
            </w:tcBorders>
            <w:shd w:val="clear" w:color="auto" w:fill="auto"/>
            <w:vAlign w:val="center"/>
            <w:hideMark/>
          </w:tcPr>
          <w:p w14:paraId="18CA0D31" w14:textId="42D15E2A"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CAMINOS BIENESTAR</w:t>
            </w:r>
          </w:p>
        </w:tc>
        <w:tc>
          <w:tcPr>
            <w:tcW w:w="1701" w:type="dxa"/>
            <w:tcBorders>
              <w:top w:val="nil"/>
              <w:left w:val="nil"/>
              <w:bottom w:val="single" w:sz="8" w:space="0" w:color="auto"/>
              <w:right w:val="single" w:sz="8" w:space="0" w:color="auto"/>
            </w:tcBorders>
            <w:shd w:val="clear" w:color="auto" w:fill="auto"/>
            <w:vAlign w:val="center"/>
            <w:hideMark/>
          </w:tcPr>
          <w:p w14:paraId="1A68CA0C" w14:textId="70942F0C"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1,559,895,286</w:t>
            </w:r>
          </w:p>
        </w:tc>
        <w:tc>
          <w:tcPr>
            <w:tcW w:w="1701" w:type="dxa"/>
            <w:tcBorders>
              <w:top w:val="nil"/>
              <w:left w:val="nil"/>
              <w:bottom w:val="single" w:sz="8" w:space="0" w:color="auto"/>
              <w:right w:val="single" w:sz="8" w:space="0" w:color="auto"/>
            </w:tcBorders>
            <w:shd w:val="clear" w:color="auto" w:fill="auto"/>
            <w:vAlign w:val="center"/>
            <w:hideMark/>
          </w:tcPr>
          <w:p w14:paraId="411BFF82" w14:textId="7DBF6A17"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1,367,462,375</w:t>
            </w:r>
          </w:p>
        </w:tc>
        <w:tc>
          <w:tcPr>
            <w:tcW w:w="1559" w:type="dxa"/>
            <w:tcBorders>
              <w:top w:val="nil"/>
              <w:left w:val="nil"/>
              <w:bottom w:val="single" w:sz="8" w:space="0" w:color="auto"/>
              <w:right w:val="single" w:sz="8" w:space="0" w:color="auto"/>
            </w:tcBorders>
            <w:shd w:val="clear" w:color="auto" w:fill="auto"/>
            <w:vAlign w:val="center"/>
            <w:hideMark/>
          </w:tcPr>
          <w:p w14:paraId="6A25ED33" w14:textId="03C1E1A1"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-192,432,911</w:t>
            </w:r>
          </w:p>
        </w:tc>
      </w:tr>
      <w:tr w:rsidR="00CA6080" w:rsidRPr="00E859AF" w14:paraId="60C987AD"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995E514" w14:textId="66D32787"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502</w:t>
            </w:r>
          </w:p>
        </w:tc>
        <w:tc>
          <w:tcPr>
            <w:tcW w:w="3544" w:type="dxa"/>
            <w:tcBorders>
              <w:top w:val="nil"/>
              <w:left w:val="nil"/>
              <w:bottom w:val="single" w:sz="8" w:space="0" w:color="auto"/>
              <w:right w:val="single" w:sz="8" w:space="0" w:color="auto"/>
            </w:tcBorders>
            <w:shd w:val="clear" w:color="auto" w:fill="auto"/>
            <w:vAlign w:val="center"/>
            <w:hideMark/>
          </w:tcPr>
          <w:p w14:paraId="7681EE87" w14:textId="18BF6744"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CASA DE LA CULTURA OAXAQUEÑA</w:t>
            </w:r>
          </w:p>
        </w:tc>
        <w:tc>
          <w:tcPr>
            <w:tcW w:w="1701" w:type="dxa"/>
            <w:tcBorders>
              <w:top w:val="nil"/>
              <w:left w:val="nil"/>
              <w:bottom w:val="single" w:sz="8" w:space="0" w:color="auto"/>
              <w:right w:val="single" w:sz="8" w:space="0" w:color="auto"/>
            </w:tcBorders>
            <w:shd w:val="clear" w:color="auto" w:fill="auto"/>
            <w:vAlign w:val="center"/>
            <w:hideMark/>
          </w:tcPr>
          <w:p w14:paraId="71A8AF12" w14:textId="7104ED0F"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1,988,368</w:t>
            </w:r>
          </w:p>
        </w:tc>
        <w:tc>
          <w:tcPr>
            <w:tcW w:w="1701" w:type="dxa"/>
            <w:tcBorders>
              <w:top w:val="nil"/>
              <w:left w:val="nil"/>
              <w:bottom w:val="single" w:sz="8" w:space="0" w:color="auto"/>
              <w:right w:val="single" w:sz="8" w:space="0" w:color="auto"/>
            </w:tcBorders>
            <w:shd w:val="clear" w:color="auto" w:fill="auto"/>
            <w:vAlign w:val="center"/>
            <w:hideMark/>
          </w:tcPr>
          <w:p w14:paraId="6F513375" w14:textId="62CA6AFB"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1,913,584</w:t>
            </w:r>
          </w:p>
        </w:tc>
        <w:tc>
          <w:tcPr>
            <w:tcW w:w="1559" w:type="dxa"/>
            <w:tcBorders>
              <w:top w:val="nil"/>
              <w:left w:val="nil"/>
              <w:bottom w:val="single" w:sz="8" w:space="0" w:color="auto"/>
              <w:right w:val="single" w:sz="8" w:space="0" w:color="auto"/>
            </w:tcBorders>
            <w:shd w:val="clear" w:color="auto" w:fill="auto"/>
            <w:vAlign w:val="center"/>
            <w:hideMark/>
          </w:tcPr>
          <w:p w14:paraId="192FFB54" w14:textId="13F6AD6E"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-74,784</w:t>
            </w:r>
          </w:p>
        </w:tc>
      </w:tr>
      <w:tr w:rsidR="00CA6080" w:rsidRPr="00E859AF" w14:paraId="51A75753"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E66E099" w14:textId="266EE9FE"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504</w:t>
            </w:r>
          </w:p>
        </w:tc>
        <w:tc>
          <w:tcPr>
            <w:tcW w:w="3544" w:type="dxa"/>
            <w:tcBorders>
              <w:top w:val="nil"/>
              <w:left w:val="nil"/>
              <w:bottom w:val="single" w:sz="8" w:space="0" w:color="auto"/>
              <w:right w:val="single" w:sz="8" w:space="0" w:color="auto"/>
            </w:tcBorders>
            <w:shd w:val="clear" w:color="auto" w:fill="auto"/>
            <w:vAlign w:val="center"/>
            <w:hideMark/>
          </w:tcPr>
          <w:p w14:paraId="3BC324E0" w14:textId="6D8949B1"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CENTRO DE LAS ARTES DE SAN AGUSTÍN</w:t>
            </w:r>
          </w:p>
        </w:tc>
        <w:tc>
          <w:tcPr>
            <w:tcW w:w="1701" w:type="dxa"/>
            <w:tcBorders>
              <w:top w:val="nil"/>
              <w:left w:val="nil"/>
              <w:bottom w:val="single" w:sz="8" w:space="0" w:color="auto"/>
              <w:right w:val="single" w:sz="8" w:space="0" w:color="auto"/>
            </w:tcBorders>
            <w:shd w:val="clear" w:color="auto" w:fill="auto"/>
            <w:vAlign w:val="center"/>
            <w:hideMark/>
          </w:tcPr>
          <w:p w14:paraId="486A704E" w14:textId="28B8E97E"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2,761,229</w:t>
            </w:r>
          </w:p>
        </w:tc>
        <w:tc>
          <w:tcPr>
            <w:tcW w:w="1701" w:type="dxa"/>
            <w:tcBorders>
              <w:top w:val="nil"/>
              <w:left w:val="nil"/>
              <w:bottom w:val="single" w:sz="8" w:space="0" w:color="auto"/>
              <w:right w:val="single" w:sz="8" w:space="0" w:color="auto"/>
            </w:tcBorders>
            <w:shd w:val="clear" w:color="auto" w:fill="auto"/>
            <w:vAlign w:val="center"/>
            <w:hideMark/>
          </w:tcPr>
          <w:p w14:paraId="36632C64" w14:textId="7C2340ED"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2,263,768</w:t>
            </w:r>
          </w:p>
        </w:tc>
        <w:tc>
          <w:tcPr>
            <w:tcW w:w="1559" w:type="dxa"/>
            <w:tcBorders>
              <w:top w:val="nil"/>
              <w:left w:val="nil"/>
              <w:bottom w:val="single" w:sz="8" w:space="0" w:color="auto"/>
              <w:right w:val="single" w:sz="8" w:space="0" w:color="auto"/>
            </w:tcBorders>
            <w:shd w:val="clear" w:color="auto" w:fill="auto"/>
            <w:vAlign w:val="center"/>
            <w:hideMark/>
          </w:tcPr>
          <w:p w14:paraId="15AAB9D2" w14:textId="69C557C1"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-497,461</w:t>
            </w:r>
          </w:p>
        </w:tc>
      </w:tr>
      <w:tr w:rsidR="00CA6080" w:rsidRPr="00E859AF" w14:paraId="056827EE"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BCDE12C" w14:textId="55ED1E1A"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506</w:t>
            </w:r>
          </w:p>
        </w:tc>
        <w:tc>
          <w:tcPr>
            <w:tcW w:w="3544" w:type="dxa"/>
            <w:tcBorders>
              <w:top w:val="nil"/>
              <w:left w:val="nil"/>
              <w:bottom w:val="single" w:sz="8" w:space="0" w:color="auto"/>
              <w:right w:val="single" w:sz="8" w:space="0" w:color="auto"/>
            </w:tcBorders>
            <w:shd w:val="clear" w:color="auto" w:fill="auto"/>
            <w:vAlign w:val="center"/>
            <w:hideMark/>
          </w:tcPr>
          <w:p w14:paraId="44441C8A" w14:textId="54557924"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COLEGIO DE BACHILLERES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0407C5E2" w14:textId="3E0E14B3"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226,777,358</w:t>
            </w:r>
          </w:p>
        </w:tc>
        <w:tc>
          <w:tcPr>
            <w:tcW w:w="1701" w:type="dxa"/>
            <w:tcBorders>
              <w:top w:val="nil"/>
              <w:left w:val="nil"/>
              <w:bottom w:val="single" w:sz="8" w:space="0" w:color="auto"/>
              <w:right w:val="single" w:sz="8" w:space="0" w:color="auto"/>
            </w:tcBorders>
            <w:shd w:val="clear" w:color="auto" w:fill="auto"/>
            <w:vAlign w:val="center"/>
            <w:hideMark/>
          </w:tcPr>
          <w:p w14:paraId="393F2A39" w14:textId="65224FA1"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225,505,151</w:t>
            </w:r>
          </w:p>
        </w:tc>
        <w:tc>
          <w:tcPr>
            <w:tcW w:w="1559" w:type="dxa"/>
            <w:tcBorders>
              <w:top w:val="nil"/>
              <w:left w:val="nil"/>
              <w:bottom w:val="single" w:sz="8" w:space="0" w:color="auto"/>
              <w:right w:val="single" w:sz="8" w:space="0" w:color="auto"/>
            </w:tcBorders>
            <w:shd w:val="clear" w:color="auto" w:fill="auto"/>
            <w:vAlign w:val="center"/>
            <w:hideMark/>
          </w:tcPr>
          <w:p w14:paraId="47438C3F" w14:textId="260ED157"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-1,272,207</w:t>
            </w:r>
          </w:p>
        </w:tc>
      </w:tr>
      <w:tr w:rsidR="00CA6080" w:rsidRPr="00E859AF" w14:paraId="5A63F2E2" w14:textId="77777777" w:rsidTr="006B53F3">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7D07D2D" w14:textId="07CB2945"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507</w:t>
            </w:r>
          </w:p>
        </w:tc>
        <w:tc>
          <w:tcPr>
            <w:tcW w:w="3544" w:type="dxa"/>
            <w:tcBorders>
              <w:top w:val="nil"/>
              <w:left w:val="nil"/>
              <w:bottom w:val="single" w:sz="8" w:space="0" w:color="auto"/>
              <w:right w:val="single" w:sz="8" w:space="0" w:color="auto"/>
            </w:tcBorders>
            <w:shd w:val="clear" w:color="auto" w:fill="auto"/>
            <w:vAlign w:val="center"/>
            <w:hideMark/>
          </w:tcPr>
          <w:p w14:paraId="645EE529" w14:textId="0EDBCF28"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COLEGIO DE ESTUDIOS CIENTÍFICOS Y TECNOLÓGICOS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278A507B" w14:textId="1C1C3ED9"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1,488,805,430</w:t>
            </w:r>
          </w:p>
        </w:tc>
        <w:tc>
          <w:tcPr>
            <w:tcW w:w="1701" w:type="dxa"/>
            <w:tcBorders>
              <w:top w:val="nil"/>
              <w:left w:val="nil"/>
              <w:bottom w:val="single" w:sz="8" w:space="0" w:color="auto"/>
              <w:right w:val="single" w:sz="8" w:space="0" w:color="auto"/>
            </w:tcBorders>
            <w:shd w:val="clear" w:color="auto" w:fill="auto"/>
            <w:vAlign w:val="center"/>
            <w:hideMark/>
          </w:tcPr>
          <w:p w14:paraId="003E3875" w14:textId="60275E97"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1,486,700,677</w:t>
            </w:r>
          </w:p>
        </w:tc>
        <w:tc>
          <w:tcPr>
            <w:tcW w:w="1559" w:type="dxa"/>
            <w:tcBorders>
              <w:top w:val="nil"/>
              <w:left w:val="nil"/>
              <w:bottom w:val="single" w:sz="8" w:space="0" w:color="auto"/>
              <w:right w:val="single" w:sz="8" w:space="0" w:color="auto"/>
            </w:tcBorders>
            <w:shd w:val="clear" w:color="auto" w:fill="auto"/>
            <w:vAlign w:val="center"/>
            <w:hideMark/>
          </w:tcPr>
          <w:p w14:paraId="6E0895B3" w14:textId="7188FAE2"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-2,104,753</w:t>
            </w:r>
          </w:p>
        </w:tc>
      </w:tr>
      <w:tr w:rsidR="00CA6080" w:rsidRPr="00E859AF" w14:paraId="0A4FC02C" w14:textId="77777777" w:rsidTr="006B53F3">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7699DE5" w14:textId="36940729"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508</w:t>
            </w:r>
          </w:p>
        </w:tc>
        <w:tc>
          <w:tcPr>
            <w:tcW w:w="3544" w:type="dxa"/>
            <w:tcBorders>
              <w:top w:val="nil"/>
              <w:left w:val="nil"/>
              <w:bottom w:val="single" w:sz="8" w:space="0" w:color="auto"/>
              <w:right w:val="single" w:sz="8" w:space="0" w:color="auto"/>
            </w:tcBorders>
            <w:shd w:val="clear" w:color="auto" w:fill="auto"/>
            <w:vAlign w:val="center"/>
            <w:hideMark/>
          </w:tcPr>
          <w:p w14:paraId="39DB3335" w14:textId="1FF3D9CA"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COLEGIO SUPERIOR PARA LA EDUCACIÓN INTEGRAL INTERCULTURAL DE OAXACA</w:t>
            </w:r>
          </w:p>
        </w:tc>
        <w:tc>
          <w:tcPr>
            <w:tcW w:w="1701" w:type="dxa"/>
            <w:tcBorders>
              <w:top w:val="nil"/>
              <w:left w:val="nil"/>
              <w:bottom w:val="single" w:sz="8" w:space="0" w:color="auto"/>
              <w:right w:val="single" w:sz="8" w:space="0" w:color="auto"/>
            </w:tcBorders>
            <w:shd w:val="clear" w:color="auto" w:fill="auto"/>
            <w:vAlign w:val="center"/>
            <w:hideMark/>
          </w:tcPr>
          <w:p w14:paraId="29484A01" w14:textId="61580AAB"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13,337,721</w:t>
            </w:r>
          </w:p>
        </w:tc>
        <w:tc>
          <w:tcPr>
            <w:tcW w:w="1701" w:type="dxa"/>
            <w:tcBorders>
              <w:top w:val="nil"/>
              <w:left w:val="nil"/>
              <w:bottom w:val="single" w:sz="8" w:space="0" w:color="auto"/>
              <w:right w:val="single" w:sz="8" w:space="0" w:color="auto"/>
            </w:tcBorders>
            <w:shd w:val="clear" w:color="auto" w:fill="auto"/>
            <w:vAlign w:val="center"/>
            <w:hideMark/>
          </w:tcPr>
          <w:p w14:paraId="554BC25B" w14:textId="124D1669"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13,337,721</w:t>
            </w:r>
          </w:p>
        </w:tc>
        <w:tc>
          <w:tcPr>
            <w:tcW w:w="1559" w:type="dxa"/>
            <w:tcBorders>
              <w:top w:val="nil"/>
              <w:left w:val="nil"/>
              <w:bottom w:val="single" w:sz="8" w:space="0" w:color="auto"/>
              <w:right w:val="single" w:sz="8" w:space="0" w:color="auto"/>
            </w:tcBorders>
            <w:shd w:val="clear" w:color="auto" w:fill="auto"/>
            <w:vAlign w:val="center"/>
            <w:hideMark/>
          </w:tcPr>
          <w:p w14:paraId="566C0D86" w14:textId="6274735E"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177A670E"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08C2071" w14:textId="0809EB3B"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511</w:t>
            </w:r>
          </w:p>
        </w:tc>
        <w:tc>
          <w:tcPr>
            <w:tcW w:w="3544" w:type="dxa"/>
            <w:tcBorders>
              <w:top w:val="nil"/>
              <w:left w:val="nil"/>
              <w:bottom w:val="single" w:sz="8" w:space="0" w:color="auto"/>
              <w:right w:val="single" w:sz="8" w:space="0" w:color="auto"/>
            </w:tcBorders>
            <w:shd w:val="clear" w:color="auto" w:fill="auto"/>
            <w:vAlign w:val="center"/>
            <w:hideMark/>
          </w:tcPr>
          <w:p w14:paraId="0AC55B55" w14:textId="1C263D0D"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VIVIENDA BIENESTAR</w:t>
            </w:r>
          </w:p>
        </w:tc>
        <w:tc>
          <w:tcPr>
            <w:tcW w:w="1701" w:type="dxa"/>
            <w:tcBorders>
              <w:top w:val="nil"/>
              <w:left w:val="nil"/>
              <w:bottom w:val="single" w:sz="8" w:space="0" w:color="auto"/>
              <w:right w:val="single" w:sz="8" w:space="0" w:color="auto"/>
            </w:tcBorders>
            <w:shd w:val="clear" w:color="auto" w:fill="auto"/>
            <w:vAlign w:val="center"/>
            <w:hideMark/>
          </w:tcPr>
          <w:p w14:paraId="504D7BE8" w14:textId="76A90BB6"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511,184,227</w:t>
            </w:r>
          </w:p>
        </w:tc>
        <w:tc>
          <w:tcPr>
            <w:tcW w:w="1701" w:type="dxa"/>
            <w:tcBorders>
              <w:top w:val="nil"/>
              <w:left w:val="nil"/>
              <w:bottom w:val="single" w:sz="8" w:space="0" w:color="auto"/>
              <w:right w:val="single" w:sz="8" w:space="0" w:color="auto"/>
            </w:tcBorders>
            <w:shd w:val="clear" w:color="auto" w:fill="auto"/>
            <w:vAlign w:val="center"/>
            <w:hideMark/>
          </w:tcPr>
          <w:p w14:paraId="47975DAE" w14:textId="1D11A4D5"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47,527,662</w:t>
            </w:r>
          </w:p>
        </w:tc>
        <w:tc>
          <w:tcPr>
            <w:tcW w:w="1559" w:type="dxa"/>
            <w:tcBorders>
              <w:top w:val="nil"/>
              <w:left w:val="nil"/>
              <w:bottom w:val="single" w:sz="8" w:space="0" w:color="auto"/>
              <w:right w:val="single" w:sz="8" w:space="0" w:color="auto"/>
            </w:tcBorders>
            <w:shd w:val="clear" w:color="auto" w:fill="auto"/>
            <w:vAlign w:val="center"/>
            <w:hideMark/>
          </w:tcPr>
          <w:p w14:paraId="14F1B35B" w14:textId="5173CE52"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-463,656,565</w:t>
            </w:r>
          </w:p>
        </w:tc>
      </w:tr>
      <w:tr w:rsidR="00CA6080" w:rsidRPr="00E859AF" w14:paraId="363DCE3E"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DD03204" w14:textId="554A3256"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512</w:t>
            </w:r>
          </w:p>
        </w:tc>
        <w:tc>
          <w:tcPr>
            <w:tcW w:w="3544" w:type="dxa"/>
            <w:tcBorders>
              <w:top w:val="nil"/>
              <w:left w:val="nil"/>
              <w:bottom w:val="single" w:sz="8" w:space="0" w:color="auto"/>
              <w:right w:val="single" w:sz="8" w:space="0" w:color="auto"/>
            </w:tcBorders>
            <w:shd w:val="clear" w:color="auto" w:fill="auto"/>
            <w:vAlign w:val="center"/>
            <w:hideMark/>
          </w:tcPr>
          <w:p w14:paraId="471BAA8E" w14:textId="559F5464"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COMISIÓN ESTATAL DEL AGUA PARA EL BIENESTAR</w:t>
            </w:r>
          </w:p>
        </w:tc>
        <w:tc>
          <w:tcPr>
            <w:tcW w:w="1701" w:type="dxa"/>
            <w:tcBorders>
              <w:top w:val="nil"/>
              <w:left w:val="nil"/>
              <w:bottom w:val="single" w:sz="8" w:space="0" w:color="auto"/>
              <w:right w:val="single" w:sz="8" w:space="0" w:color="auto"/>
            </w:tcBorders>
            <w:shd w:val="clear" w:color="auto" w:fill="auto"/>
            <w:vAlign w:val="center"/>
            <w:hideMark/>
          </w:tcPr>
          <w:p w14:paraId="0B6AE108" w14:textId="1C395EFF"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1,766,371,064</w:t>
            </w:r>
          </w:p>
        </w:tc>
        <w:tc>
          <w:tcPr>
            <w:tcW w:w="1701" w:type="dxa"/>
            <w:tcBorders>
              <w:top w:val="nil"/>
              <w:left w:val="nil"/>
              <w:bottom w:val="single" w:sz="8" w:space="0" w:color="auto"/>
              <w:right w:val="single" w:sz="8" w:space="0" w:color="auto"/>
            </w:tcBorders>
            <w:shd w:val="clear" w:color="auto" w:fill="auto"/>
            <w:vAlign w:val="center"/>
            <w:hideMark/>
          </w:tcPr>
          <w:p w14:paraId="1E47A269" w14:textId="30FF173C"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1,554,155,880</w:t>
            </w:r>
          </w:p>
        </w:tc>
        <w:tc>
          <w:tcPr>
            <w:tcW w:w="1559" w:type="dxa"/>
            <w:tcBorders>
              <w:top w:val="nil"/>
              <w:left w:val="nil"/>
              <w:bottom w:val="single" w:sz="8" w:space="0" w:color="auto"/>
              <w:right w:val="single" w:sz="8" w:space="0" w:color="auto"/>
            </w:tcBorders>
            <w:shd w:val="clear" w:color="auto" w:fill="auto"/>
            <w:vAlign w:val="center"/>
            <w:hideMark/>
          </w:tcPr>
          <w:p w14:paraId="3D2E59F5" w14:textId="227C68D5"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-212,215,184</w:t>
            </w:r>
          </w:p>
        </w:tc>
      </w:tr>
      <w:tr w:rsidR="00CA6080" w:rsidRPr="00E859AF" w14:paraId="5FE62A17"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C1DE9E0" w14:textId="214C2EB4"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513</w:t>
            </w:r>
          </w:p>
        </w:tc>
        <w:tc>
          <w:tcPr>
            <w:tcW w:w="3544" w:type="dxa"/>
            <w:tcBorders>
              <w:top w:val="nil"/>
              <w:left w:val="nil"/>
              <w:bottom w:val="single" w:sz="8" w:space="0" w:color="auto"/>
              <w:right w:val="single" w:sz="8" w:space="0" w:color="auto"/>
            </w:tcBorders>
            <w:shd w:val="clear" w:color="auto" w:fill="auto"/>
            <w:vAlign w:val="center"/>
            <w:hideMark/>
          </w:tcPr>
          <w:p w14:paraId="22A22FE9" w14:textId="12A8FC05"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COMISIÓN ESTATAL FORESTAL</w:t>
            </w:r>
          </w:p>
        </w:tc>
        <w:tc>
          <w:tcPr>
            <w:tcW w:w="1701" w:type="dxa"/>
            <w:tcBorders>
              <w:top w:val="nil"/>
              <w:left w:val="nil"/>
              <w:bottom w:val="single" w:sz="8" w:space="0" w:color="auto"/>
              <w:right w:val="single" w:sz="8" w:space="0" w:color="auto"/>
            </w:tcBorders>
            <w:shd w:val="clear" w:color="auto" w:fill="auto"/>
            <w:vAlign w:val="center"/>
            <w:hideMark/>
          </w:tcPr>
          <w:p w14:paraId="4314C919" w14:textId="5B7BE0C6"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17,591,580</w:t>
            </w:r>
          </w:p>
        </w:tc>
        <w:tc>
          <w:tcPr>
            <w:tcW w:w="1701" w:type="dxa"/>
            <w:tcBorders>
              <w:top w:val="nil"/>
              <w:left w:val="nil"/>
              <w:bottom w:val="single" w:sz="8" w:space="0" w:color="auto"/>
              <w:right w:val="single" w:sz="8" w:space="0" w:color="auto"/>
            </w:tcBorders>
            <w:shd w:val="clear" w:color="auto" w:fill="auto"/>
            <w:vAlign w:val="center"/>
            <w:hideMark/>
          </w:tcPr>
          <w:p w14:paraId="0F739A8D" w14:textId="31E68946"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17,432,491</w:t>
            </w:r>
          </w:p>
        </w:tc>
        <w:tc>
          <w:tcPr>
            <w:tcW w:w="1559" w:type="dxa"/>
            <w:tcBorders>
              <w:top w:val="nil"/>
              <w:left w:val="nil"/>
              <w:bottom w:val="single" w:sz="8" w:space="0" w:color="auto"/>
              <w:right w:val="single" w:sz="8" w:space="0" w:color="auto"/>
            </w:tcBorders>
            <w:shd w:val="clear" w:color="auto" w:fill="auto"/>
            <w:vAlign w:val="center"/>
            <w:hideMark/>
          </w:tcPr>
          <w:p w14:paraId="60FCDE39" w14:textId="00C21ED4"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-159,090</w:t>
            </w:r>
          </w:p>
        </w:tc>
      </w:tr>
      <w:tr w:rsidR="00CA6080" w:rsidRPr="00E859AF" w14:paraId="53FE3AD5" w14:textId="77777777" w:rsidTr="00E859AF">
        <w:trPr>
          <w:trHeight w:val="592"/>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BE99816" w14:textId="60C34122"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515</w:t>
            </w:r>
          </w:p>
        </w:tc>
        <w:tc>
          <w:tcPr>
            <w:tcW w:w="3544" w:type="dxa"/>
            <w:tcBorders>
              <w:top w:val="nil"/>
              <w:left w:val="nil"/>
              <w:bottom w:val="single" w:sz="8" w:space="0" w:color="auto"/>
              <w:right w:val="single" w:sz="8" w:space="0" w:color="auto"/>
            </w:tcBorders>
            <w:shd w:val="clear" w:color="auto" w:fill="auto"/>
            <w:vAlign w:val="center"/>
            <w:hideMark/>
          </w:tcPr>
          <w:p w14:paraId="6B7C54C3" w14:textId="69F3E36C"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 xml:space="preserve">COMISIÓN ESTATAL PARA LA PLANEACIÓN Y PROGRAMACIÓN DE LA EDUCACIÓN MEDIA </w:t>
            </w:r>
            <w:r w:rsidRPr="00E859AF">
              <w:rPr>
                <w:rFonts w:ascii="Montserrat" w:hAnsi="Montserrat"/>
                <w:sz w:val="22"/>
                <w:szCs w:val="22"/>
              </w:rPr>
              <w:lastRenderedPageBreak/>
              <w:t>SUPERIOR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1BCCB5B4" w14:textId="0F7B6623"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lastRenderedPageBreak/>
              <w:t>36,488</w:t>
            </w:r>
          </w:p>
        </w:tc>
        <w:tc>
          <w:tcPr>
            <w:tcW w:w="1701" w:type="dxa"/>
            <w:tcBorders>
              <w:top w:val="nil"/>
              <w:left w:val="nil"/>
              <w:bottom w:val="single" w:sz="8" w:space="0" w:color="auto"/>
              <w:right w:val="single" w:sz="8" w:space="0" w:color="auto"/>
            </w:tcBorders>
            <w:shd w:val="clear" w:color="auto" w:fill="auto"/>
            <w:vAlign w:val="center"/>
            <w:hideMark/>
          </w:tcPr>
          <w:p w14:paraId="17636D6B" w14:textId="785416D9"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36,488</w:t>
            </w:r>
          </w:p>
        </w:tc>
        <w:tc>
          <w:tcPr>
            <w:tcW w:w="1559" w:type="dxa"/>
            <w:tcBorders>
              <w:top w:val="nil"/>
              <w:left w:val="nil"/>
              <w:bottom w:val="single" w:sz="8" w:space="0" w:color="auto"/>
              <w:right w:val="single" w:sz="8" w:space="0" w:color="auto"/>
            </w:tcBorders>
            <w:shd w:val="clear" w:color="auto" w:fill="auto"/>
            <w:vAlign w:val="center"/>
            <w:hideMark/>
          </w:tcPr>
          <w:p w14:paraId="5C697018" w14:textId="31D5A1D5"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0A46CA42" w14:textId="77777777" w:rsidTr="006B53F3">
        <w:trPr>
          <w:trHeight w:val="464"/>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B23EFB8" w14:textId="14DC2ACA"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516</w:t>
            </w:r>
          </w:p>
        </w:tc>
        <w:tc>
          <w:tcPr>
            <w:tcW w:w="3544" w:type="dxa"/>
            <w:tcBorders>
              <w:top w:val="nil"/>
              <w:left w:val="nil"/>
              <w:bottom w:val="single" w:sz="8" w:space="0" w:color="auto"/>
              <w:right w:val="single" w:sz="8" w:space="0" w:color="auto"/>
            </w:tcBorders>
            <w:shd w:val="clear" w:color="auto" w:fill="auto"/>
            <w:vAlign w:val="center"/>
            <w:hideMark/>
          </w:tcPr>
          <w:p w14:paraId="0CB046BB" w14:textId="1DC64C98"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COMISIÓN PARA LA REGULARIZACIÓN DE LA TENENCIA DE LA TIERRA URBANA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61962216" w14:textId="38FC996B"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207,109</w:t>
            </w:r>
          </w:p>
        </w:tc>
        <w:tc>
          <w:tcPr>
            <w:tcW w:w="1701" w:type="dxa"/>
            <w:tcBorders>
              <w:top w:val="nil"/>
              <w:left w:val="nil"/>
              <w:bottom w:val="single" w:sz="8" w:space="0" w:color="auto"/>
              <w:right w:val="single" w:sz="8" w:space="0" w:color="auto"/>
            </w:tcBorders>
            <w:shd w:val="clear" w:color="auto" w:fill="auto"/>
            <w:vAlign w:val="center"/>
            <w:hideMark/>
          </w:tcPr>
          <w:p w14:paraId="57A6A1FF" w14:textId="206453D3"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207,029</w:t>
            </w:r>
          </w:p>
        </w:tc>
        <w:tc>
          <w:tcPr>
            <w:tcW w:w="1559" w:type="dxa"/>
            <w:tcBorders>
              <w:top w:val="nil"/>
              <w:left w:val="nil"/>
              <w:bottom w:val="single" w:sz="8" w:space="0" w:color="auto"/>
              <w:right w:val="single" w:sz="8" w:space="0" w:color="auto"/>
            </w:tcBorders>
            <w:shd w:val="clear" w:color="auto" w:fill="auto"/>
            <w:vAlign w:val="center"/>
            <w:hideMark/>
          </w:tcPr>
          <w:p w14:paraId="2EA1A514" w14:textId="00434089"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-80</w:t>
            </w:r>
          </w:p>
        </w:tc>
      </w:tr>
      <w:tr w:rsidR="00CA6080" w:rsidRPr="00E859AF" w14:paraId="2B233531"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8C9FF38" w14:textId="02145940"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517</w:t>
            </w:r>
          </w:p>
        </w:tc>
        <w:tc>
          <w:tcPr>
            <w:tcW w:w="3544" w:type="dxa"/>
            <w:tcBorders>
              <w:top w:val="nil"/>
              <w:left w:val="nil"/>
              <w:bottom w:val="single" w:sz="8" w:space="0" w:color="auto"/>
              <w:right w:val="single" w:sz="8" w:space="0" w:color="auto"/>
            </w:tcBorders>
            <w:shd w:val="clear" w:color="auto" w:fill="auto"/>
            <w:vAlign w:val="center"/>
            <w:hideMark/>
          </w:tcPr>
          <w:p w14:paraId="5850FEDA" w14:textId="50E3A91F"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CONSEJO ESTATAL PARA LA PREVENCIÓN Y CONTROL DEL SIDA</w:t>
            </w:r>
          </w:p>
        </w:tc>
        <w:tc>
          <w:tcPr>
            <w:tcW w:w="1701" w:type="dxa"/>
            <w:tcBorders>
              <w:top w:val="nil"/>
              <w:left w:val="nil"/>
              <w:bottom w:val="single" w:sz="8" w:space="0" w:color="auto"/>
              <w:right w:val="single" w:sz="8" w:space="0" w:color="auto"/>
            </w:tcBorders>
            <w:shd w:val="clear" w:color="auto" w:fill="auto"/>
            <w:vAlign w:val="center"/>
            <w:hideMark/>
          </w:tcPr>
          <w:p w14:paraId="364DE689" w14:textId="38CD13F8"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21,707,792</w:t>
            </w:r>
          </w:p>
        </w:tc>
        <w:tc>
          <w:tcPr>
            <w:tcW w:w="1701" w:type="dxa"/>
            <w:tcBorders>
              <w:top w:val="nil"/>
              <w:left w:val="nil"/>
              <w:bottom w:val="single" w:sz="8" w:space="0" w:color="auto"/>
              <w:right w:val="single" w:sz="8" w:space="0" w:color="auto"/>
            </w:tcBorders>
            <w:shd w:val="clear" w:color="auto" w:fill="auto"/>
            <w:vAlign w:val="center"/>
            <w:hideMark/>
          </w:tcPr>
          <w:p w14:paraId="6591DA7A" w14:textId="14771468"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21,707,792</w:t>
            </w:r>
          </w:p>
        </w:tc>
        <w:tc>
          <w:tcPr>
            <w:tcW w:w="1559" w:type="dxa"/>
            <w:tcBorders>
              <w:top w:val="nil"/>
              <w:left w:val="nil"/>
              <w:bottom w:val="single" w:sz="8" w:space="0" w:color="auto"/>
              <w:right w:val="single" w:sz="8" w:space="0" w:color="auto"/>
            </w:tcBorders>
            <w:shd w:val="clear" w:color="auto" w:fill="auto"/>
            <w:vAlign w:val="center"/>
            <w:hideMark/>
          </w:tcPr>
          <w:p w14:paraId="277769D1" w14:textId="0F9E0155"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33FA3BD2"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0BC7079" w14:textId="6253D2C6"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519</w:t>
            </w:r>
          </w:p>
        </w:tc>
        <w:tc>
          <w:tcPr>
            <w:tcW w:w="3544" w:type="dxa"/>
            <w:tcBorders>
              <w:top w:val="nil"/>
              <w:left w:val="nil"/>
              <w:bottom w:val="single" w:sz="8" w:space="0" w:color="auto"/>
              <w:right w:val="single" w:sz="8" w:space="0" w:color="auto"/>
            </w:tcBorders>
            <w:shd w:val="clear" w:color="auto" w:fill="auto"/>
            <w:vAlign w:val="center"/>
            <w:hideMark/>
          </w:tcPr>
          <w:p w14:paraId="58337300" w14:textId="0E3A1E79"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CONSEJO OAXAQUEÑO DE CIENCIA, TECNOLOGÍA E INNOVACIÓN.</w:t>
            </w:r>
          </w:p>
        </w:tc>
        <w:tc>
          <w:tcPr>
            <w:tcW w:w="1701" w:type="dxa"/>
            <w:tcBorders>
              <w:top w:val="nil"/>
              <w:left w:val="nil"/>
              <w:bottom w:val="single" w:sz="8" w:space="0" w:color="auto"/>
              <w:right w:val="single" w:sz="8" w:space="0" w:color="auto"/>
            </w:tcBorders>
            <w:shd w:val="clear" w:color="auto" w:fill="auto"/>
            <w:vAlign w:val="center"/>
            <w:hideMark/>
          </w:tcPr>
          <w:p w14:paraId="48CFA4D0" w14:textId="7FEFB4E5"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339,163</w:t>
            </w:r>
          </w:p>
        </w:tc>
        <w:tc>
          <w:tcPr>
            <w:tcW w:w="1701" w:type="dxa"/>
            <w:tcBorders>
              <w:top w:val="nil"/>
              <w:left w:val="nil"/>
              <w:bottom w:val="single" w:sz="8" w:space="0" w:color="auto"/>
              <w:right w:val="single" w:sz="8" w:space="0" w:color="auto"/>
            </w:tcBorders>
            <w:shd w:val="clear" w:color="auto" w:fill="auto"/>
            <w:vAlign w:val="center"/>
            <w:hideMark/>
          </w:tcPr>
          <w:p w14:paraId="60F28E63" w14:textId="3A05C305"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339,163</w:t>
            </w:r>
          </w:p>
        </w:tc>
        <w:tc>
          <w:tcPr>
            <w:tcW w:w="1559" w:type="dxa"/>
            <w:tcBorders>
              <w:top w:val="nil"/>
              <w:left w:val="nil"/>
              <w:bottom w:val="single" w:sz="8" w:space="0" w:color="auto"/>
              <w:right w:val="single" w:sz="8" w:space="0" w:color="auto"/>
            </w:tcBorders>
            <w:shd w:val="clear" w:color="auto" w:fill="auto"/>
            <w:vAlign w:val="center"/>
            <w:hideMark/>
          </w:tcPr>
          <w:p w14:paraId="544D491A" w14:textId="403B4F5A"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688331EB" w14:textId="77777777" w:rsidTr="006B53F3">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1D5A4CF" w14:textId="02A01DDF"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520</w:t>
            </w:r>
          </w:p>
        </w:tc>
        <w:tc>
          <w:tcPr>
            <w:tcW w:w="3544" w:type="dxa"/>
            <w:tcBorders>
              <w:top w:val="nil"/>
              <w:left w:val="nil"/>
              <w:bottom w:val="single" w:sz="8" w:space="0" w:color="auto"/>
              <w:right w:val="single" w:sz="8" w:space="0" w:color="auto"/>
            </w:tcBorders>
            <w:shd w:val="clear" w:color="auto" w:fill="auto"/>
            <w:vAlign w:val="center"/>
            <w:hideMark/>
          </w:tcPr>
          <w:p w14:paraId="1C20518C" w14:textId="3BFB5202"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COORDINACIÓN ESTATAL DE PROTECCIÓN CIVIL Y GESTIÓN DE RIESGOS</w:t>
            </w:r>
          </w:p>
        </w:tc>
        <w:tc>
          <w:tcPr>
            <w:tcW w:w="1701" w:type="dxa"/>
            <w:tcBorders>
              <w:top w:val="nil"/>
              <w:left w:val="nil"/>
              <w:bottom w:val="single" w:sz="8" w:space="0" w:color="auto"/>
              <w:right w:val="single" w:sz="8" w:space="0" w:color="auto"/>
            </w:tcBorders>
            <w:shd w:val="clear" w:color="auto" w:fill="auto"/>
            <w:vAlign w:val="center"/>
            <w:hideMark/>
          </w:tcPr>
          <w:p w14:paraId="1EE5321E" w14:textId="31C45ADF"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2,588,796</w:t>
            </w:r>
          </w:p>
        </w:tc>
        <w:tc>
          <w:tcPr>
            <w:tcW w:w="1701" w:type="dxa"/>
            <w:tcBorders>
              <w:top w:val="nil"/>
              <w:left w:val="nil"/>
              <w:bottom w:val="single" w:sz="8" w:space="0" w:color="auto"/>
              <w:right w:val="single" w:sz="8" w:space="0" w:color="auto"/>
            </w:tcBorders>
            <w:shd w:val="clear" w:color="auto" w:fill="auto"/>
            <w:vAlign w:val="center"/>
            <w:hideMark/>
          </w:tcPr>
          <w:p w14:paraId="59C05C99" w14:textId="04E54695"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2,542,639</w:t>
            </w:r>
          </w:p>
        </w:tc>
        <w:tc>
          <w:tcPr>
            <w:tcW w:w="1559" w:type="dxa"/>
            <w:tcBorders>
              <w:top w:val="nil"/>
              <w:left w:val="nil"/>
              <w:bottom w:val="single" w:sz="8" w:space="0" w:color="auto"/>
              <w:right w:val="single" w:sz="8" w:space="0" w:color="auto"/>
            </w:tcBorders>
            <w:shd w:val="clear" w:color="auto" w:fill="auto"/>
            <w:vAlign w:val="center"/>
            <w:hideMark/>
          </w:tcPr>
          <w:p w14:paraId="43AD4029" w14:textId="024E7954"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-46,157</w:t>
            </w:r>
          </w:p>
        </w:tc>
      </w:tr>
      <w:tr w:rsidR="00CA6080" w:rsidRPr="00E859AF" w14:paraId="346C8E32"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C1EFA16" w14:textId="383BFE31"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521</w:t>
            </w:r>
          </w:p>
        </w:tc>
        <w:tc>
          <w:tcPr>
            <w:tcW w:w="3544" w:type="dxa"/>
            <w:tcBorders>
              <w:top w:val="nil"/>
              <w:left w:val="nil"/>
              <w:bottom w:val="single" w:sz="8" w:space="0" w:color="auto"/>
              <w:right w:val="single" w:sz="8" w:space="0" w:color="auto"/>
            </w:tcBorders>
            <w:shd w:val="clear" w:color="auto" w:fill="auto"/>
            <w:vAlign w:val="center"/>
            <w:hideMark/>
          </w:tcPr>
          <w:p w14:paraId="1B6CDF2F" w14:textId="64C07BFB"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CORPORACIÓN OAXAQUEÑA DE RADIO Y TELEVISIÓN</w:t>
            </w:r>
          </w:p>
        </w:tc>
        <w:tc>
          <w:tcPr>
            <w:tcW w:w="1701" w:type="dxa"/>
            <w:tcBorders>
              <w:top w:val="nil"/>
              <w:left w:val="nil"/>
              <w:bottom w:val="single" w:sz="8" w:space="0" w:color="auto"/>
              <w:right w:val="single" w:sz="8" w:space="0" w:color="auto"/>
            </w:tcBorders>
            <w:shd w:val="clear" w:color="auto" w:fill="auto"/>
            <w:vAlign w:val="center"/>
            <w:hideMark/>
          </w:tcPr>
          <w:p w14:paraId="3ABAC299" w14:textId="778BE85D"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214,418,855</w:t>
            </w:r>
          </w:p>
        </w:tc>
        <w:tc>
          <w:tcPr>
            <w:tcW w:w="1701" w:type="dxa"/>
            <w:tcBorders>
              <w:top w:val="nil"/>
              <w:left w:val="nil"/>
              <w:bottom w:val="single" w:sz="8" w:space="0" w:color="auto"/>
              <w:right w:val="single" w:sz="8" w:space="0" w:color="auto"/>
            </w:tcBorders>
            <w:shd w:val="clear" w:color="auto" w:fill="auto"/>
            <w:vAlign w:val="center"/>
            <w:hideMark/>
          </w:tcPr>
          <w:p w14:paraId="29C84E16" w14:textId="2FB11806"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214,300,779</w:t>
            </w:r>
          </w:p>
        </w:tc>
        <w:tc>
          <w:tcPr>
            <w:tcW w:w="1559" w:type="dxa"/>
            <w:tcBorders>
              <w:top w:val="nil"/>
              <w:left w:val="nil"/>
              <w:bottom w:val="single" w:sz="8" w:space="0" w:color="auto"/>
              <w:right w:val="single" w:sz="8" w:space="0" w:color="auto"/>
            </w:tcBorders>
            <w:shd w:val="clear" w:color="auto" w:fill="auto"/>
            <w:vAlign w:val="center"/>
            <w:hideMark/>
          </w:tcPr>
          <w:p w14:paraId="0468680E" w14:textId="11A6911F"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-118,076</w:t>
            </w:r>
          </w:p>
        </w:tc>
      </w:tr>
      <w:tr w:rsidR="00CA6080" w:rsidRPr="00E859AF" w14:paraId="140EBD2F"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397D4FA" w14:textId="093AFFBD"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523</w:t>
            </w:r>
          </w:p>
        </w:tc>
        <w:tc>
          <w:tcPr>
            <w:tcW w:w="3544" w:type="dxa"/>
            <w:tcBorders>
              <w:top w:val="nil"/>
              <w:left w:val="nil"/>
              <w:bottom w:val="single" w:sz="8" w:space="0" w:color="auto"/>
              <w:right w:val="single" w:sz="8" w:space="0" w:color="auto"/>
            </w:tcBorders>
            <w:shd w:val="clear" w:color="auto" w:fill="auto"/>
            <w:vAlign w:val="center"/>
            <w:hideMark/>
          </w:tcPr>
          <w:p w14:paraId="32D2593B" w14:textId="1EBA5228"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HOSPITAL DE LA NIÑEZ OAXAQUEÑA</w:t>
            </w:r>
          </w:p>
        </w:tc>
        <w:tc>
          <w:tcPr>
            <w:tcW w:w="1701" w:type="dxa"/>
            <w:tcBorders>
              <w:top w:val="nil"/>
              <w:left w:val="nil"/>
              <w:bottom w:val="single" w:sz="8" w:space="0" w:color="auto"/>
              <w:right w:val="single" w:sz="8" w:space="0" w:color="auto"/>
            </w:tcBorders>
            <w:shd w:val="clear" w:color="auto" w:fill="auto"/>
            <w:vAlign w:val="center"/>
            <w:hideMark/>
          </w:tcPr>
          <w:p w14:paraId="4AB6012D" w14:textId="15D5B65B"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77,567,911</w:t>
            </w:r>
          </w:p>
        </w:tc>
        <w:tc>
          <w:tcPr>
            <w:tcW w:w="1701" w:type="dxa"/>
            <w:tcBorders>
              <w:top w:val="nil"/>
              <w:left w:val="nil"/>
              <w:bottom w:val="single" w:sz="8" w:space="0" w:color="auto"/>
              <w:right w:val="single" w:sz="8" w:space="0" w:color="auto"/>
            </w:tcBorders>
            <w:shd w:val="clear" w:color="auto" w:fill="auto"/>
            <w:vAlign w:val="center"/>
            <w:hideMark/>
          </w:tcPr>
          <w:p w14:paraId="435805E5" w14:textId="1494A6F1"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77,565,707</w:t>
            </w:r>
          </w:p>
        </w:tc>
        <w:tc>
          <w:tcPr>
            <w:tcW w:w="1559" w:type="dxa"/>
            <w:tcBorders>
              <w:top w:val="nil"/>
              <w:left w:val="nil"/>
              <w:bottom w:val="single" w:sz="8" w:space="0" w:color="auto"/>
              <w:right w:val="single" w:sz="8" w:space="0" w:color="auto"/>
            </w:tcBorders>
            <w:shd w:val="clear" w:color="auto" w:fill="auto"/>
            <w:vAlign w:val="center"/>
            <w:hideMark/>
          </w:tcPr>
          <w:p w14:paraId="22E70746" w14:textId="7DC90D8E"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-2,204</w:t>
            </w:r>
          </w:p>
        </w:tc>
      </w:tr>
      <w:tr w:rsidR="00CA6080" w:rsidRPr="00E859AF" w14:paraId="494B1CD3" w14:textId="77777777" w:rsidTr="006B53F3">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47C62C2" w14:textId="6FA8EDA1"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524</w:t>
            </w:r>
          </w:p>
        </w:tc>
        <w:tc>
          <w:tcPr>
            <w:tcW w:w="3544" w:type="dxa"/>
            <w:tcBorders>
              <w:top w:val="nil"/>
              <w:left w:val="nil"/>
              <w:bottom w:val="single" w:sz="8" w:space="0" w:color="auto"/>
              <w:right w:val="single" w:sz="8" w:space="0" w:color="auto"/>
            </w:tcBorders>
            <w:shd w:val="clear" w:color="auto" w:fill="auto"/>
            <w:vAlign w:val="center"/>
            <w:hideMark/>
          </w:tcPr>
          <w:p w14:paraId="02E5662D" w14:textId="2F32F628"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INSTITUTO DE CAPACITACIÓN Y PRODUCTIVIDAD PARA EL TRABAJO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358D7A94" w14:textId="736E65A8"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57,565,907</w:t>
            </w:r>
          </w:p>
        </w:tc>
        <w:tc>
          <w:tcPr>
            <w:tcW w:w="1701" w:type="dxa"/>
            <w:tcBorders>
              <w:top w:val="nil"/>
              <w:left w:val="nil"/>
              <w:bottom w:val="single" w:sz="8" w:space="0" w:color="auto"/>
              <w:right w:val="single" w:sz="8" w:space="0" w:color="auto"/>
            </w:tcBorders>
            <w:shd w:val="clear" w:color="auto" w:fill="auto"/>
            <w:vAlign w:val="center"/>
            <w:hideMark/>
          </w:tcPr>
          <w:p w14:paraId="0FA45C62" w14:textId="20BDCB83"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57,445,825</w:t>
            </w:r>
          </w:p>
        </w:tc>
        <w:tc>
          <w:tcPr>
            <w:tcW w:w="1559" w:type="dxa"/>
            <w:tcBorders>
              <w:top w:val="nil"/>
              <w:left w:val="nil"/>
              <w:bottom w:val="single" w:sz="8" w:space="0" w:color="auto"/>
              <w:right w:val="single" w:sz="8" w:space="0" w:color="auto"/>
            </w:tcBorders>
            <w:shd w:val="clear" w:color="auto" w:fill="auto"/>
            <w:vAlign w:val="center"/>
            <w:hideMark/>
          </w:tcPr>
          <w:p w14:paraId="2F78D333" w14:textId="0F717242"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-120,082</w:t>
            </w:r>
          </w:p>
        </w:tc>
      </w:tr>
      <w:tr w:rsidR="00CA6080" w:rsidRPr="00E859AF" w14:paraId="41AB5099" w14:textId="77777777" w:rsidTr="006B53F3">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19DA790" w14:textId="3E9A328D"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525</w:t>
            </w:r>
          </w:p>
        </w:tc>
        <w:tc>
          <w:tcPr>
            <w:tcW w:w="3544" w:type="dxa"/>
            <w:tcBorders>
              <w:top w:val="nil"/>
              <w:left w:val="nil"/>
              <w:bottom w:val="single" w:sz="8" w:space="0" w:color="auto"/>
              <w:right w:val="single" w:sz="8" w:space="0" w:color="auto"/>
            </w:tcBorders>
            <w:shd w:val="clear" w:color="auto" w:fill="auto"/>
            <w:vAlign w:val="center"/>
            <w:hideMark/>
          </w:tcPr>
          <w:p w14:paraId="78322224" w14:textId="4CCA3250"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INSTITUTO DE ESTUDIOS DE BACHILLERATO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3654AF52" w14:textId="0384A582"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20,856,941</w:t>
            </w:r>
          </w:p>
        </w:tc>
        <w:tc>
          <w:tcPr>
            <w:tcW w:w="1701" w:type="dxa"/>
            <w:tcBorders>
              <w:top w:val="nil"/>
              <w:left w:val="nil"/>
              <w:bottom w:val="single" w:sz="8" w:space="0" w:color="auto"/>
              <w:right w:val="single" w:sz="8" w:space="0" w:color="auto"/>
            </w:tcBorders>
            <w:shd w:val="clear" w:color="auto" w:fill="auto"/>
            <w:vAlign w:val="center"/>
            <w:hideMark/>
          </w:tcPr>
          <w:p w14:paraId="69D6BA86" w14:textId="066427EE"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18,733,217</w:t>
            </w:r>
          </w:p>
        </w:tc>
        <w:tc>
          <w:tcPr>
            <w:tcW w:w="1559" w:type="dxa"/>
            <w:tcBorders>
              <w:top w:val="nil"/>
              <w:left w:val="nil"/>
              <w:bottom w:val="single" w:sz="8" w:space="0" w:color="auto"/>
              <w:right w:val="single" w:sz="8" w:space="0" w:color="auto"/>
            </w:tcBorders>
            <w:shd w:val="clear" w:color="auto" w:fill="auto"/>
            <w:vAlign w:val="center"/>
            <w:hideMark/>
          </w:tcPr>
          <w:p w14:paraId="6DBE896F" w14:textId="3AB5D190"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-2,123,724</w:t>
            </w:r>
          </w:p>
        </w:tc>
      </w:tr>
      <w:tr w:rsidR="00CA6080" w:rsidRPr="00E859AF" w14:paraId="6222A438"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43FDF5D" w14:textId="55EB395B"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526</w:t>
            </w:r>
          </w:p>
        </w:tc>
        <w:tc>
          <w:tcPr>
            <w:tcW w:w="3544" w:type="dxa"/>
            <w:tcBorders>
              <w:top w:val="nil"/>
              <w:left w:val="nil"/>
              <w:bottom w:val="single" w:sz="8" w:space="0" w:color="auto"/>
              <w:right w:val="single" w:sz="8" w:space="0" w:color="auto"/>
            </w:tcBorders>
            <w:shd w:val="clear" w:color="auto" w:fill="auto"/>
            <w:vAlign w:val="center"/>
            <w:hideMark/>
          </w:tcPr>
          <w:p w14:paraId="0168CE34" w14:textId="0A67FA4C"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INSTITUTO DE LA JUVENTUD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2CBB4515" w14:textId="7A3390E3"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1,198,616</w:t>
            </w:r>
          </w:p>
        </w:tc>
        <w:tc>
          <w:tcPr>
            <w:tcW w:w="1701" w:type="dxa"/>
            <w:tcBorders>
              <w:top w:val="nil"/>
              <w:left w:val="nil"/>
              <w:bottom w:val="single" w:sz="8" w:space="0" w:color="auto"/>
              <w:right w:val="single" w:sz="8" w:space="0" w:color="auto"/>
            </w:tcBorders>
            <w:shd w:val="clear" w:color="auto" w:fill="auto"/>
            <w:vAlign w:val="center"/>
            <w:hideMark/>
          </w:tcPr>
          <w:p w14:paraId="27560635" w14:textId="687F82CC"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1,198,616</w:t>
            </w:r>
          </w:p>
        </w:tc>
        <w:tc>
          <w:tcPr>
            <w:tcW w:w="1559" w:type="dxa"/>
            <w:tcBorders>
              <w:top w:val="nil"/>
              <w:left w:val="nil"/>
              <w:bottom w:val="single" w:sz="8" w:space="0" w:color="auto"/>
              <w:right w:val="single" w:sz="8" w:space="0" w:color="auto"/>
            </w:tcBorders>
            <w:shd w:val="clear" w:color="auto" w:fill="auto"/>
            <w:vAlign w:val="center"/>
            <w:hideMark/>
          </w:tcPr>
          <w:p w14:paraId="2A38DA7D" w14:textId="1E2E908E"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464800F9"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602E061" w14:textId="09457FEA"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528</w:t>
            </w:r>
          </w:p>
        </w:tc>
        <w:tc>
          <w:tcPr>
            <w:tcW w:w="3544" w:type="dxa"/>
            <w:tcBorders>
              <w:top w:val="nil"/>
              <w:left w:val="nil"/>
              <w:bottom w:val="single" w:sz="8" w:space="0" w:color="auto"/>
              <w:right w:val="single" w:sz="8" w:space="0" w:color="auto"/>
            </w:tcBorders>
            <w:shd w:val="clear" w:color="auto" w:fill="auto"/>
            <w:vAlign w:val="center"/>
            <w:hideMark/>
          </w:tcPr>
          <w:p w14:paraId="1766DE47" w14:textId="67EB687A"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INSTITUTO DEL PATRIMONIO CULTURAL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606A18FE" w14:textId="152F7D57"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1,441,320,603</w:t>
            </w:r>
          </w:p>
        </w:tc>
        <w:tc>
          <w:tcPr>
            <w:tcW w:w="1701" w:type="dxa"/>
            <w:tcBorders>
              <w:top w:val="nil"/>
              <w:left w:val="nil"/>
              <w:bottom w:val="single" w:sz="8" w:space="0" w:color="auto"/>
              <w:right w:val="single" w:sz="8" w:space="0" w:color="auto"/>
            </w:tcBorders>
            <w:shd w:val="clear" w:color="auto" w:fill="auto"/>
            <w:vAlign w:val="center"/>
            <w:hideMark/>
          </w:tcPr>
          <w:p w14:paraId="614DA1E3" w14:textId="38D35345"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1,406,618,116</w:t>
            </w:r>
          </w:p>
        </w:tc>
        <w:tc>
          <w:tcPr>
            <w:tcW w:w="1559" w:type="dxa"/>
            <w:tcBorders>
              <w:top w:val="nil"/>
              <w:left w:val="nil"/>
              <w:bottom w:val="single" w:sz="8" w:space="0" w:color="auto"/>
              <w:right w:val="single" w:sz="8" w:space="0" w:color="auto"/>
            </w:tcBorders>
            <w:shd w:val="clear" w:color="auto" w:fill="auto"/>
            <w:vAlign w:val="center"/>
            <w:hideMark/>
          </w:tcPr>
          <w:p w14:paraId="7A486497" w14:textId="70938C1C"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-34,702,486</w:t>
            </w:r>
          </w:p>
        </w:tc>
      </w:tr>
      <w:tr w:rsidR="00CA6080" w:rsidRPr="00E859AF" w14:paraId="47710515"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35A1DB5" w14:textId="416068A0"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530</w:t>
            </w:r>
          </w:p>
        </w:tc>
        <w:tc>
          <w:tcPr>
            <w:tcW w:w="3544" w:type="dxa"/>
            <w:tcBorders>
              <w:top w:val="nil"/>
              <w:left w:val="nil"/>
              <w:bottom w:val="single" w:sz="8" w:space="0" w:color="auto"/>
              <w:right w:val="single" w:sz="8" w:space="0" w:color="auto"/>
            </w:tcBorders>
            <w:shd w:val="clear" w:color="auto" w:fill="auto"/>
            <w:vAlign w:val="center"/>
            <w:hideMark/>
          </w:tcPr>
          <w:p w14:paraId="43328D02" w14:textId="08E53E54"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INSTITUTO ESTATAL DE EDUCACIÓN PARA ADULTOS</w:t>
            </w:r>
          </w:p>
        </w:tc>
        <w:tc>
          <w:tcPr>
            <w:tcW w:w="1701" w:type="dxa"/>
            <w:tcBorders>
              <w:top w:val="nil"/>
              <w:left w:val="nil"/>
              <w:bottom w:val="single" w:sz="8" w:space="0" w:color="auto"/>
              <w:right w:val="single" w:sz="8" w:space="0" w:color="auto"/>
            </w:tcBorders>
            <w:shd w:val="clear" w:color="auto" w:fill="auto"/>
            <w:vAlign w:val="center"/>
            <w:hideMark/>
          </w:tcPr>
          <w:p w14:paraId="055860EB" w14:textId="30A2F8F5"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-305,398</w:t>
            </w:r>
          </w:p>
        </w:tc>
        <w:tc>
          <w:tcPr>
            <w:tcW w:w="1701" w:type="dxa"/>
            <w:tcBorders>
              <w:top w:val="nil"/>
              <w:left w:val="nil"/>
              <w:bottom w:val="single" w:sz="8" w:space="0" w:color="auto"/>
              <w:right w:val="single" w:sz="8" w:space="0" w:color="auto"/>
            </w:tcBorders>
            <w:shd w:val="clear" w:color="auto" w:fill="auto"/>
            <w:vAlign w:val="center"/>
            <w:hideMark/>
          </w:tcPr>
          <w:p w14:paraId="2A8ACD05" w14:textId="5CB00546"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92,182</w:t>
            </w:r>
          </w:p>
        </w:tc>
        <w:tc>
          <w:tcPr>
            <w:tcW w:w="1559" w:type="dxa"/>
            <w:tcBorders>
              <w:top w:val="nil"/>
              <w:left w:val="nil"/>
              <w:bottom w:val="single" w:sz="8" w:space="0" w:color="auto"/>
              <w:right w:val="single" w:sz="8" w:space="0" w:color="auto"/>
            </w:tcBorders>
            <w:shd w:val="clear" w:color="auto" w:fill="auto"/>
            <w:vAlign w:val="center"/>
            <w:hideMark/>
          </w:tcPr>
          <w:p w14:paraId="29E814C1" w14:textId="6123D0EC"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397,580</w:t>
            </w:r>
          </w:p>
        </w:tc>
      </w:tr>
      <w:tr w:rsidR="00CA6080" w:rsidRPr="00E859AF" w14:paraId="59727708"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5DCCFB8" w14:textId="0CBAFED5"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531</w:t>
            </w:r>
          </w:p>
        </w:tc>
        <w:tc>
          <w:tcPr>
            <w:tcW w:w="3544" w:type="dxa"/>
            <w:tcBorders>
              <w:top w:val="nil"/>
              <w:left w:val="nil"/>
              <w:bottom w:val="single" w:sz="8" w:space="0" w:color="auto"/>
              <w:right w:val="single" w:sz="8" w:space="0" w:color="auto"/>
            </w:tcBorders>
            <w:shd w:val="clear" w:color="auto" w:fill="auto"/>
            <w:vAlign w:val="center"/>
            <w:hideMark/>
          </w:tcPr>
          <w:p w14:paraId="13199E90" w14:textId="287933DF"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INSTITUTO ESTATAL DE EDUCACIÓN PÚBLICA DE OAXACA</w:t>
            </w:r>
          </w:p>
        </w:tc>
        <w:tc>
          <w:tcPr>
            <w:tcW w:w="1701" w:type="dxa"/>
            <w:tcBorders>
              <w:top w:val="nil"/>
              <w:left w:val="nil"/>
              <w:bottom w:val="single" w:sz="8" w:space="0" w:color="auto"/>
              <w:right w:val="single" w:sz="8" w:space="0" w:color="auto"/>
            </w:tcBorders>
            <w:shd w:val="clear" w:color="auto" w:fill="auto"/>
            <w:vAlign w:val="center"/>
            <w:hideMark/>
          </w:tcPr>
          <w:p w14:paraId="58E4B02F" w14:textId="2343F127"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5,700,797,160</w:t>
            </w:r>
          </w:p>
        </w:tc>
        <w:tc>
          <w:tcPr>
            <w:tcW w:w="1701" w:type="dxa"/>
            <w:tcBorders>
              <w:top w:val="nil"/>
              <w:left w:val="nil"/>
              <w:bottom w:val="single" w:sz="8" w:space="0" w:color="auto"/>
              <w:right w:val="single" w:sz="8" w:space="0" w:color="auto"/>
            </w:tcBorders>
            <w:shd w:val="clear" w:color="auto" w:fill="auto"/>
            <w:vAlign w:val="center"/>
            <w:hideMark/>
          </w:tcPr>
          <w:p w14:paraId="5847EBEA" w14:textId="5B337351"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5,696,407,275</w:t>
            </w:r>
          </w:p>
        </w:tc>
        <w:tc>
          <w:tcPr>
            <w:tcW w:w="1559" w:type="dxa"/>
            <w:tcBorders>
              <w:top w:val="nil"/>
              <w:left w:val="nil"/>
              <w:bottom w:val="single" w:sz="8" w:space="0" w:color="auto"/>
              <w:right w:val="single" w:sz="8" w:space="0" w:color="auto"/>
            </w:tcBorders>
            <w:shd w:val="clear" w:color="auto" w:fill="auto"/>
            <w:vAlign w:val="center"/>
            <w:hideMark/>
          </w:tcPr>
          <w:p w14:paraId="5A325EFA" w14:textId="0FA023D7"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-4,389,885</w:t>
            </w:r>
          </w:p>
        </w:tc>
      </w:tr>
      <w:tr w:rsidR="00CA6080" w:rsidRPr="00E859AF" w14:paraId="219EAF86"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74D626C" w14:textId="4017293E"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lastRenderedPageBreak/>
              <w:t>532</w:t>
            </w:r>
          </w:p>
        </w:tc>
        <w:tc>
          <w:tcPr>
            <w:tcW w:w="3544" w:type="dxa"/>
            <w:tcBorders>
              <w:top w:val="nil"/>
              <w:left w:val="nil"/>
              <w:bottom w:val="single" w:sz="8" w:space="0" w:color="auto"/>
              <w:right w:val="single" w:sz="8" w:space="0" w:color="auto"/>
            </w:tcBorders>
            <w:shd w:val="clear" w:color="auto" w:fill="auto"/>
            <w:vAlign w:val="center"/>
            <w:hideMark/>
          </w:tcPr>
          <w:p w14:paraId="0EC58E06" w14:textId="3CF7F1B5"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INSTITUTO OAXAQUEÑO CONSTRUCTOR DE INFRAESTRUCTURA EDUCATIVA</w:t>
            </w:r>
          </w:p>
        </w:tc>
        <w:tc>
          <w:tcPr>
            <w:tcW w:w="1701" w:type="dxa"/>
            <w:tcBorders>
              <w:top w:val="nil"/>
              <w:left w:val="nil"/>
              <w:bottom w:val="single" w:sz="8" w:space="0" w:color="auto"/>
              <w:right w:val="single" w:sz="8" w:space="0" w:color="auto"/>
            </w:tcBorders>
            <w:shd w:val="clear" w:color="auto" w:fill="auto"/>
            <w:vAlign w:val="center"/>
            <w:hideMark/>
          </w:tcPr>
          <w:p w14:paraId="4BE625EA" w14:textId="2423D0C7"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1,419,677,335</w:t>
            </w:r>
          </w:p>
        </w:tc>
        <w:tc>
          <w:tcPr>
            <w:tcW w:w="1701" w:type="dxa"/>
            <w:tcBorders>
              <w:top w:val="nil"/>
              <w:left w:val="nil"/>
              <w:bottom w:val="single" w:sz="8" w:space="0" w:color="auto"/>
              <w:right w:val="single" w:sz="8" w:space="0" w:color="auto"/>
            </w:tcBorders>
            <w:shd w:val="clear" w:color="auto" w:fill="auto"/>
            <w:vAlign w:val="center"/>
            <w:hideMark/>
          </w:tcPr>
          <w:p w14:paraId="57496284" w14:textId="4D982F3E"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1,287,007,878</w:t>
            </w:r>
          </w:p>
        </w:tc>
        <w:tc>
          <w:tcPr>
            <w:tcW w:w="1559" w:type="dxa"/>
            <w:tcBorders>
              <w:top w:val="nil"/>
              <w:left w:val="nil"/>
              <w:bottom w:val="single" w:sz="8" w:space="0" w:color="auto"/>
              <w:right w:val="single" w:sz="8" w:space="0" w:color="auto"/>
            </w:tcBorders>
            <w:shd w:val="clear" w:color="auto" w:fill="auto"/>
            <w:vAlign w:val="center"/>
            <w:hideMark/>
          </w:tcPr>
          <w:p w14:paraId="355539FF" w14:textId="134EE0BA"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-132,669,457</w:t>
            </w:r>
          </w:p>
        </w:tc>
      </w:tr>
      <w:tr w:rsidR="00CA6080" w:rsidRPr="00E859AF" w14:paraId="54AFEDCB"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FC070E2" w14:textId="05FCA1BB"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535</w:t>
            </w:r>
          </w:p>
        </w:tc>
        <w:tc>
          <w:tcPr>
            <w:tcW w:w="3544" w:type="dxa"/>
            <w:tcBorders>
              <w:top w:val="nil"/>
              <w:left w:val="nil"/>
              <w:bottom w:val="single" w:sz="8" w:space="0" w:color="auto"/>
              <w:right w:val="single" w:sz="8" w:space="0" w:color="auto"/>
            </w:tcBorders>
            <w:shd w:val="clear" w:color="auto" w:fill="auto"/>
            <w:vAlign w:val="center"/>
            <w:hideMark/>
          </w:tcPr>
          <w:p w14:paraId="74B779B2" w14:textId="57A3E230"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INSTITUTO TECNOLÓGICO SUPERIOR DE SAN MIGUEL EL GRANDE</w:t>
            </w:r>
          </w:p>
        </w:tc>
        <w:tc>
          <w:tcPr>
            <w:tcW w:w="1701" w:type="dxa"/>
            <w:tcBorders>
              <w:top w:val="nil"/>
              <w:left w:val="nil"/>
              <w:bottom w:val="single" w:sz="8" w:space="0" w:color="auto"/>
              <w:right w:val="single" w:sz="8" w:space="0" w:color="auto"/>
            </w:tcBorders>
            <w:shd w:val="clear" w:color="auto" w:fill="auto"/>
            <w:vAlign w:val="center"/>
            <w:hideMark/>
          </w:tcPr>
          <w:p w14:paraId="3DC49B93" w14:textId="59D22092"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17,938,741</w:t>
            </w:r>
          </w:p>
        </w:tc>
        <w:tc>
          <w:tcPr>
            <w:tcW w:w="1701" w:type="dxa"/>
            <w:tcBorders>
              <w:top w:val="nil"/>
              <w:left w:val="nil"/>
              <w:bottom w:val="single" w:sz="8" w:space="0" w:color="auto"/>
              <w:right w:val="single" w:sz="8" w:space="0" w:color="auto"/>
            </w:tcBorders>
            <w:shd w:val="clear" w:color="auto" w:fill="auto"/>
            <w:vAlign w:val="center"/>
            <w:hideMark/>
          </w:tcPr>
          <w:p w14:paraId="3A911E42" w14:textId="28F73966"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17,070,541</w:t>
            </w:r>
          </w:p>
        </w:tc>
        <w:tc>
          <w:tcPr>
            <w:tcW w:w="1559" w:type="dxa"/>
            <w:tcBorders>
              <w:top w:val="nil"/>
              <w:left w:val="nil"/>
              <w:bottom w:val="single" w:sz="8" w:space="0" w:color="auto"/>
              <w:right w:val="single" w:sz="8" w:space="0" w:color="auto"/>
            </w:tcBorders>
            <w:shd w:val="clear" w:color="auto" w:fill="auto"/>
            <w:vAlign w:val="center"/>
            <w:hideMark/>
          </w:tcPr>
          <w:p w14:paraId="6C42AB3B" w14:textId="56230F31"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-868,200</w:t>
            </w:r>
          </w:p>
        </w:tc>
      </w:tr>
      <w:tr w:rsidR="00CA6080" w:rsidRPr="00E859AF" w14:paraId="7CEB3EEA"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C426C38" w14:textId="278E5FE7"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536</w:t>
            </w:r>
          </w:p>
        </w:tc>
        <w:tc>
          <w:tcPr>
            <w:tcW w:w="3544" w:type="dxa"/>
            <w:tcBorders>
              <w:top w:val="nil"/>
              <w:left w:val="nil"/>
              <w:bottom w:val="single" w:sz="8" w:space="0" w:color="auto"/>
              <w:right w:val="single" w:sz="8" w:space="0" w:color="auto"/>
            </w:tcBorders>
            <w:shd w:val="clear" w:color="auto" w:fill="auto"/>
            <w:vAlign w:val="center"/>
            <w:hideMark/>
          </w:tcPr>
          <w:p w14:paraId="1B3E9AA1" w14:textId="129BFA8C"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INSTITUTO TECNOLÓGICO SUPERIOR DE TEPOSCOLULA</w:t>
            </w:r>
          </w:p>
        </w:tc>
        <w:tc>
          <w:tcPr>
            <w:tcW w:w="1701" w:type="dxa"/>
            <w:tcBorders>
              <w:top w:val="nil"/>
              <w:left w:val="nil"/>
              <w:bottom w:val="single" w:sz="8" w:space="0" w:color="auto"/>
              <w:right w:val="single" w:sz="8" w:space="0" w:color="auto"/>
            </w:tcBorders>
            <w:shd w:val="clear" w:color="auto" w:fill="auto"/>
            <w:vAlign w:val="center"/>
            <w:hideMark/>
          </w:tcPr>
          <w:p w14:paraId="4BBED6BF" w14:textId="43E20A7F"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2,638,275</w:t>
            </w:r>
          </w:p>
        </w:tc>
        <w:tc>
          <w:tcPr>
            <w:tcW w:w="1701" w:type="dxa"/>
            <w:tcBorders>
              <w:top w:val="nil"/>
              <w:left w:val="nil"/>
              <w:bottom w:val="single" w:sz="8" w:space="0" w:color="auto"/>
              <w:right w:val="single" w:sz="8" w:space="0" w:color="auto"/>
            </w:tcBorders>
            <w:shd w:val="clear" w:color="auto" w:fill="auto"/>
            <w:vAlign w:val="center"/>
            <w:hideMark/>
          </w:tcPr>
          <w:p w14:paraId="7341496E" w14:textId="539EAFC9"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2,638,275</w:t>
            </w:r>
          </w:p>
        </w:tc>
        <w:tc>
          <w:tcPr>
            <w:tcW w:w="1559" w:type="dxa"/>
            <w:tcBorders>
              <w:top w:val="nil"/>
              <w:left w:val="nil"/>
              <w:bottom w:val="single" w:sz="8" w:space="0" w:color="auto"/>
              <w:right w:val="single" w:sz="8" w:space="0" w:color="auto"/>
            </w:tcBorders>
            <w:shd w:val="clear" w:color="auto" w:fill="auto"/>
            <w:vAlign w:val="center"/>
            <w:hideMark/>
          </w:tcPr>
          <w:p w14:paraId="2AAAFE51" w14:textId="3D66A5EF"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451730CC"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7D9A0E0" w14:textId="4E9DCD3D"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538</w:t>
            </w:r>
          </w:p>
        </w:tc>
        <w:tc>
          <w:tcPr>
            <w:tcW w:w="3544" w:type="dxa"/>
            <w:tcBorders>
              <w:top w:val="nil"/>
              <w:left w:val="nil"/>
              <w:bottom w:val="single" w:sz="8" w:space="0" w:color="auto"/>
              <w:right w:val="single" w:sz="8" w:space="0" w:color="auto"/>
            </w:tcBorders>
            <w:shd w:val="clear" w:color="auto" w:fill="auto"/>
            <w:vAlign w:val="center"/>
            <w:hideMark/>
          </w:tcPr>
          <w:p w14:paraId="22FD939C" w14:textId="632B0A9A"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NOVAUNIVERSITAS</w:t>
            </w:r>
          </w:p>
        </w:tc>
        <w:tc>
          <w:tcPr>
            <w:tcW w:w="1701" w:type="dxa"/>
            <w:tcBorders>
              <w:top w:val="nil"/>
              <w:left w:val="nil"/>
              <w:bottom w:val="single" w:sz="8" w:space="0" w:color="auto"/>
              <w:right w:val="single" w:sz="8" w:space="0" w:color="auto"/>
            </w:tcBorders>
            <w:shd w:val="clear" w:color="auto" w:fill="auto"/>
            <w:vAlign w:val="center"/>
            <w:hideMark/>
          </w:tcPr>
          <w:p w14:paraId="7514802A" w14:textId="671F91D8"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122,359,579</w:t>
            </w:r>
          </w:p>
        </w:tc>
        <w:tc>
          <w:tcPr>
            <w:tcW w:w="1701" w:type="dxa"/>
            <w:tcBorders>
              <w:top w:val="nil"/>
              <w:left w:val="nil"/>
              <w:bottom w:val="single" w:sz="8" w:space="0" w:color="auto"/>
              <w:right w:val="single" w:sz="8" w:space="0" w:color="auto"/>
            </w:tcBorders>
            <w:shd w:val="clear" w:color="auto" w:fill="auto"/>
            <w:vAlign w:val="center"/>
            <w:hideMark/>
          </w:tcPr>
          <w:p w14:paraId="2E85C9D0" w14:textId="269D4E82"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159,845,307</w:t>
            </w:r>
          </w:p>
        </w:tc>
        <w:tc>
          <w:tcPr>
            <w:tcW w:w="1559" w:type="dxa"/>
            <w:tcBorders>
              <w:top w:val="nil"/>
              <w:left w:val="nil"/>
              <w:bottom w:val="single" w:sz="8" w:space="0" w:color="auto"/>
              <w:right w:val="single" w:sz="8" w:space="0" w:color="auto"/>
            </w:tcBorders>
            <w:shd w:val="clear" w:color="auto" w:fill="auto"/>
            <w:vAlign w:val="center"/>
            <w:hideMark/>
          </w:tcPr>
          <w:p w14:paraId="5D9C0275" w14:textId="6850BF2C"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37,485,729</w:t>
            </w:r>
          </w:p>
        </w:tc>
      </w:tr>
      <w:tr w:rsidR="00CA6080" w:rsidRPr="00E859AF" w14:paraId="4CF53701"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5B7EA56" w14:textId="5EB83748"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539</w:t>
            </w:r>
          </w:p>
        </w:tc>
        <w:tc>
          <w:tcPr>
            <w:tcW w:w="3544" w:type="dxa"/>
            <w:tcBorders>
              <w:top w:val="nil"/>
              <w:left w:val="nil"/>
              <w:bottom w:val="single" w:sz="8" w:space="0" w:color="auto"/>
              <w:right w:val="single" w:sz="8" w:space="0" w:color="auto"/>
            </w:tcBorders>
            <w:shd w:val="clear" w:color="auto" w:fill="auto"/>
            <w:vAlign w:val="center"/>
            <w:hideMark/>
          </w:tcPr>
          <w:p w14:paraId="1BA5B21F" w14:textId="5EE2DB2B"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SISTEMA OPERADOR DE LOS SERVICIOS DE AGUA POTABLE Y ALCANTARILLADO</w:t>
            </w:r>
          </w:p>
        </w:tc>
        <w:tc>
          <w:tcPr>
            <w:tcW w:w="1701" w:type="dxa"/>
            <w:tcBorders>
              <w:top w:val="nil"/>
              <w:left w:val="nil"/>
              <w:bottom w:val="single" w:sz="8" w:space="0" w:color="auto"/>
              <w:right w:val="single" w:sz="8" w:space="0" w:color="auto"/>
            </w:tcBorders>
            <w:shd w:val="clear" w:color="auto" w:fill="auto"/>
            <w:vAlign w:val="center"/>
            <w:hideMark/>
          </w:tcPr>
          <w:p w14:paraId="3EAF10AD" w14:textId="2F93EC97"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929,385,597</w:t>
            </w:r>
          </w:p>
        </w:tc>
        <w:tc>
          <w:tcPr>
            <w:tcW w:w="1701" w:type="dxa"/>
            <w:tcBorders>
              <w:top w:val="nil"/>
              <w:left w:val="nil"/>
              <w:bottom w:val="single" w:sz="8" w:space="0" w:color="auto"/>
              <w:right w:val="single" w:sz="8" w:space="0" w:color="auto"/>
            </w:tcBorders>
            <w:shd w:val="clear" w:color="auto" w:fill="auto"/>
            <w:vAlign w:val="center"/>
            <w:hideMark/>
          </w:tcPr>
          <w:p w14:paraId="5D1F8647" w14:textId="5FCC193B"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782,774,490</w:t>
            </w:r>
          </w:p>
        </w:tc>
        <w:tc>
          <w:tcPr>
            <w:tcW w:w="1559" w:type="dxa"/>
            <w:tcBorders>
              <w:top w:val="nil"/>
              <w:left w:val="nil"/>
              <w:bottom w:val="single" w:sz="8" w:space="0" w:color="auto"/>
              <w:right w:val="single" w:sz="8" w:space="0" w:color="auto"/>
            </w:tcBorders>
            <w:shd w:val="clear" w:color="auto" w:fill="auto"/>
            <w:vAlign w:val="center"/>
            <w:hideMark/>
          </w:tcPr>
          <w:p w14:paraId="1D6F2BEF" w14:textId="394EE1F2"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-146,611,107</w:t>
            </w:r>
          </w:p>
        </w:tc>
      </w:tr>
      <w:tr w:rsidR="00CA6080" w:rsidRPr="00E859AF" w14:paraId="01CA3322"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64C10A1" w14:textId="5D13958C"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540</w:t>
            </w:r>
          </w:p>
        </w:tc>
        <w:tc>
          <w:tcPr>
            <w:tcW w:w="3544" w:type="dxa"/>
            <w:tcBorders>
              <w:top w:val="nil"/>
              <w:left w:val="nil"/>
              <w:bottom w:val="single" w:sz="8" w:space="0" w:color="auto"/>
              <w:right w:val="single" w:sz="8" w:space="0" w:color="auto"/>
            </w:tcBorders>
            <w:shd w:val="clear" w:color="auto" w:fill="auto"/>
            <w:vAlign w:val="center"/>
            <w:hideMark/>
          </w:tcPr>
          <w:p w14:paraId="5F26E693" w14:textId="3255CE2A"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SERVICIOS DE SALUD DE OAXACA</w:t>
            </w:r>
          </w:p>
        </w:tc>
        <w:tc>
          <w:tcPr>
            <w:tcW w:w="1701" w:type="dxa"/>
            <w:tcBorders>
              <w:top w:val="nil"/>
              <w:left w:val="nil"/>
              <w:bottom w:val="single" w:sz="8" w:space="0" w:color="auto"/>
              <w:right w:val="single" w:sz="8" w:space="0" w:color="auto"/>
            </w:tcBorders>
            <w:shd w:val="clear" w:color="auto" w:fill="auto"/>
            <w:vAlign w:val="center"/>
            <w:hideMark/>
          </w:tcPr>
          <w:p w14:paraId="7268796E" w14:textId="55BBE500"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8,094,365,002</w:t>
            </w:r>
          </w:p>
        </w:tc>
        <w:tc>
          <w:tcPr>
            <w:tcW w:w="1701" w:type="dxa"/>
            <w:tcBorders>
              <w:top w:val="nil"/>
              <w:left w:val="nil"/>
              <w:bottom w:val="single" w:sz="8" w:space="0" w:color="auto"/>
              <w:right w:val="single" w:sz="8" w:space="0" w:color="auto"/>
            </w:tcBorders>
            <w:shd w:val="clear" w:color="auto" w:fill="auto"/>
            <w:vAlign w:val="center"/>
            <w:hideMark/>
          </w:tcPr>
          <w:p w14:paraId="2D075D9C" w14:textId="3A3870B1"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8,036,975,608</w:t>
            </w:r>
          </w:p>
        </w:tc>
        <w:tc>
          <w:tcPr>
            <w:tcW w:w="1559" w:type="dxa"/>
            <w:tcBorders>
              <w:top w:val="nil"/>
              <w:left w:val="nil"/>
              <w:bottom w:val="single" w:sz="8" w:space="0" w:color="auto"/>
              <w:right w:val="single" w:sz="8" w:space="0" w:color="auto"/>
            </w:tcBorders>
            <w:shd w:val="clear" w:color="auto" w:fill="auto"/>
            <w:vAlign w:val="center"/>
            <w:hideMark/>
          </w:tcPr>
          <w:p w14:paraId="0E9EEBD6" w14:textId="42078218"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-57,389,394</w:t>
            </w:r>
          </w:p>
        </w:tc>
      </w:tr>
      <w:tr w:rsidR="00CA6080" w:rsidRPr="00E859AF" w14:paraId="28BB9EB4" w14:textId="77777777" w:rsidTr="006B53F3">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5185048" w14:textId="4298F39A"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541</w:t>
            </w:r>
          </w:p>
        </w:tc>
        <w:tc>
          <w:tcPr>
            <w:tcW w:w="3544" w:type="dxa"/>
            <w:tcBorders>
              <w:top w:val="nil"/>
              <w:left w:val="nil"/>
              <w:bottom w:val="single" w:sz="8" w:space="0" w:color="auto"/>
              <w:right w:val="single" w:sz="8" w:space="0" w:color="auto"/>
            </w:tcBorders>
            <w:shd w:val="clear" w:color="auto" w:fill="auto"/>
            <w:vAlign w:val="center"/>
            <w:hideMark/>
          </w:tcPr>
          <w:p w14:paraId="50CCA516" w14:textId="50C6BEF7"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SISTEMA PARA EL DESARROLLO INTEGRAL DE LA FAMILIA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55E6200C" w14:textId="4B08F90E"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409,426,559</w:t>
            </w:r>
          </w:p>
        </w:tc>
        <w:tc>
          <w:tcPr>
            <w:tcW w:w="1701" w:type="dxa"/>
            <w:tcBorders>
              <w:top w:val="nil"/>
              <w:left w:val="nil"/>
              <w:bottom w:val="single" w:sz="8" w:space="0" w:color="auto"/>
              <w:right w:val="single" w:sz="8" w:space="0" w:color="auto"/>
            </w:tcBorders>
            <w:shd w:val="clear" w:color="auto" w:fill="auto"/>
            <w:vAlign w:val="center"/>
            <w:hideMark/>
          </w:tcPr>
          <w:p w14:paraId="78684B24" w14:textId="78708082"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415,006,732</w:t>
            </w:r>
          </w:p>
        </w:tc>
        <w:tc>
          <w:tcPr>
            <w:tcW w:w="1559" w:type="dxa"/>
            <w:tcBorders>
              <w:top w:val="nil"/>
              <w:left w:val="nil"/>
              <w:bottom w:val="single" w:sz="8" w:space="0" w:color="auto"/>
              <w:right w:val="single" w:sz="8" w:space="0" w:color="auto"/>
            </w:tcBorders>
            <w:shd w:val="clear" w:color="auto" w:fill="auto"/>
            <w:vAlign w:val="center"/>
            <w:hideMark/>
          </w:tcPr>
          <w:p w14:paraId="54179BAA" w14:textId="65B30BB5"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5,580,173</w:t>
            </w:r>
          </w:p>
        </w:tc>
      </w:tr>
      <w:tr w:rsidR="00CA6080" w:rsidRPr="00E859AF" w14:paraId="7F88314D"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0C41FFB" w14:textId="28F2271F"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542</w:t>
            </w:r>
          </w:p>
        </w:tc>
        <w:tc>
          <w:tcPr>
            <w:tcW w:w="3544" w:type="dxa"/>
            <w:tcBorders>
              <w:top w:val="nil"/>
              <w:left w:val="nil"/>
              <w:bottom w:val="single" w:sz="8" w:space="0" w:color="auto"/>
              <w:right w:val="single" w:sz="8" w:space="0" w:color="auto"/>
            </w:tcBorders>
            <w:shd w:val="clear" w:color="auto" w:fill="auto"/>
            <w:vAlign w:val="center"/>
            <w:hideMark/>
          </w:tcPr>
          <w:p w14:paraId="3F0BA9B0" w14:textId="0B1E0811"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UNIVERSIDAD DE CHALCATONGO</w:t>
            </w:r>
          </w:p>
        </w:tc>
        <w:tc>
          <w:tcPr>
            <w:tcW w:w="1701" w:type="dxa"/>
            <w:tcBorders>
              <w:top w:val="nil"/>
              <w:left w:val="nil"/>
              <w:bottom w:val="single" w:sz="8" w:space="0" w:color="auto"/>
              <w:right w:val="single" w:sz="8" w:space="0" w:color="auto"/>
            </w:tcBorders>
            <w:shd w:val="clear" w:color="auto" w:fill="auto"/>
            <w:vAlign w:val="center"/>
            <w:hideMark/>
          </w:tcPr>
          <w:p w14:paraId="3D79A60C" w14:textId="116F0461"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130,490,021</w:t>
            </w:r>
          </w:p>
        </w:tc>
        <w:tc>
          <w:tcPr>
            <w:tcW w:w="1701" w:type="dxa"/>
            <w:tcBorders>
              <w:top w:val="nil"/>
              <w:left w:val="nil"/>
              <w:bottom w:val="single" w:sz="8" w:space="0" w:color="auto"/>
              <w:right w:val="single" w:sz="8" w:space="0" w:color="auto"/>
            </w:tcBorders>
            <w:shd w:val="clear" w:color="auto" w:fill="auto"/>
            <w:vAlign w:val="center"/>
            <w:hideMark/>
          </w:tcPr>
          <w:p w14:paraId="7EE3DD6B" w14:textId="2032F83E"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130,490,021</w:t>
            </w:r>
          </w:p>
        </w:tc>
        <w:tc>
          <w:tcPr>
            <w:tcW w:w="1559" w:type="dxa"/>
            <w:tcBorders>
              <w:top w:val="nil"/>
              <w:left w:val="nil"/>
              <w:bottom w:val="single" w:sz="8" w:space="0" w:color="auto"/>
              <w:right w:val="single" w:sz="8" w:space="0" w:color="auto"/>
            </w:tcBorders>
            <w:shd w:val="clear" w:color="auto" w:fill="auto"/>
            <w:vAlign w:val="center"/>
            <w:hideMark/>
          </w:tcPr>
          <w:p w14:paraId="06B24185" w14:textId="28F7375C"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3947AD02"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6D85AB3" w14:textId="1D7A8FB9"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543</w:t>
            </w:r>
          </w:p>
        </w:tc>
        <w:tc>
          <w:tcPr>
            <w:tcW w:w="3544" w:type="dxa"/>
            <w:tcBorders>
              <w:top w:val="nil"/>
              <w:left w:val="nil"/>
              <w:bottom w:val="single" w:sz="8" w:space="0" w:color="auto"/>
              <w:right w:val="single" w:sz="8" w:space="0" w:color="auto"/>
            </w:tcBorders>
            <w:shd w:val="clear" w:color="auto" w:fill="auto"/>
            <w:vAlign w:val="center"/>
            <w:hideMark/>
          </w:tcPr>
          <w:p w14:paraId="551C4517" w14:textId="4CD3756A"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UNIVERSIDAD DE LA CAÑADA</w:t>
            </w:r>
          </w:p>
        </w:tc>
        <w:tc>
          <w:tcPr>
            <w:tcW w:w="1701" w:type="dxa"/>
            <w:tcBorders>
              <w:top w:val="nil"/>
              <w:left w:val="nil"/>
              <w:bottom w:val="single" w:sz="8" w:space="0" w:color="auto"/>
              <w:right w:val="single" w:sz="8" w:space="0" w:color="auto"/>
            </w:tcBorders>
            <w:shd w:val="clear" w:color="auto" w:fill="auto"/>
            <w:vAlign w:val="center"/>
            <w:hideMark/>
          </w:tcPr>
          <w:p w14:paraId="389368CF" w14:textId="74F10FF3"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139,590,617</w:t>
            </w:r>
          </w:p>
        </w:tc>
        <w:tc>
          <w:tcPr>
            <w:tcW w:w="1701" w:type="dxa"/>
            <w:tcBorders>
              <w:top w:val="nil"/>
              <w:left w:val="nil"/>
              <w:bottom w:val="single" w:sz="8" w:space="0" w:color="auto"/>
              <w:right w:val="single" w:sz="8" w:space="0" w:color="auto"/>
            </w:tcBorders>
            <w:shd w:val="clear" w:color="auto" w:fill="auto"/>
            <w:vAlign w:val="center"/>
            <w:hideMark/>
          </w:tcPr>
          <w:p w14:paraId="0A28A4CB" w14:textId="4AD638A3"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139,436,484</w:t>
            </w:r>
          </w:p>
        </w:tc>
        <w:tc>
          <w:tcPr>
            <w:tcW w:w="1559" w:type="dxa"/>
            <w:tcBorders>
              <w:top w:val="nil"/>
              <w:left w:val="nil"/>
              <w:bottom w:val="single" w:sz="8" w:space="0" w:color="auto"/>
              <w:right w:val="single" w:sz="8" w:space="0" w:color="auto"/>
            </w:tcBorders>
            <w:shd w:val="clear" w:color="auto" w:fill="auto"/>
            <w:vAlign w:val="center"/>
            <w:hideMark/>
          </w:tcPr>
          <w:p w14:paraId="5446C02F" w14:textId="3137D310"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-154,134</w:t>
            </w:r>
          </w:p>
        </w:tc>
      </w:tr>
      <w:tr w:rsidR="00CA6080" w:rsidRPr="00E859AF" w14:paraId="0C2353C8"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DC4E8B7" w14:textId="78276E8F"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544</w:t>
            </w:r>
          </w:p>
        </w:tc>
        <w:tc>
          <w:tcPr>
            <w:tcW w:w="3544" w:type="dxa"/>
            <w:tcBorders>
              <w:top w:val="nil"/>
              <w:left w:val="nil"/>
              <w:bottom w:val="single" w:sz="8" w:space="0" w:color="auto"/>
              <w:right w:val="single" w:sz="8" w:space="0" w:color="auto"/>
            </w:tcBorders>
            <w:shd w:val="clear" w:color="auto" w:fill="auto"/>
            <w:vAlign w:val="center"/>
            <w:hideMark/>
          </w:tcPr>
          <w:p w14:paraId="562076CA" w14:textId="149BC5F4"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UNIVERSIDAD DE LA COSTA</w:t>
            </w:r>
          </w:p>
        </w:tc>
        <w:tc>
          <w:tcPr>
            <w:tcW w:w="1701" w:type="dxa"/>
            <w:tcBorders>
              <w:top w:val="nil"/>
              <w:left w:val="nil"/>
              <w:bottom w:val="single" w:sz="8" w:space="0" w:color="auto"/>
              <w:right w:val="single" w:sz="8" w:space="0" w:color="auto"/>
            </w:tcBorders>
            <w:shd w:val="clear" w:color="auto" w:fill="auto"/>
            <w:vAlign w:val="center"/>
            <w:hideMark/>
          </w:tcPr>
          <w:p w14:paraId="367A1A12" w14:textId="78EFAD7C"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105,557,617</w:t>
            </w:r>
          </w:p>
        </w:tc>
        <w:tc>
          <w:tcPr>
            <w:tcW w:w="1701" w:type="dxa"/>
            <w:tcBorders>
              <w:top w:val="nil"/>
              <w:left w:val="nil"/>
              <w:bottom w:val="single" w:sz="8" w:space="0" w:color="auto"/>
              <w:right w:val="single" w:sz="8" w:space="0" w:color="auto"/>
            </w:tcBorders>
            <w:shd w:val="clear" w:color="auto" w:fill="auto"/>
            <w:vAlign w:val="center"/>
            <w:hideMark/>
          </w:tcPr>
          <w:p w14:paraId="0546F398" w14:textId="1FAF3DC3"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105,557,617</w:t>
            </w:r>
          </w:p>
        </w:tc>
        <w:tc>
          <w:tcPr>
            <w:tcW w:w="1559" w:type="dxa"/>
            <w:tcBorders>
              <w:top w:val="nil"/>
              <w:left w:val="nil"/>
              <w:bottom w:val="single" w:sz="8" w:space="0" w:color="auto"/>
              <w:right w:val="single" w:sz="8" w:space="0" w:color="auto"/>
            </w:tcBorders>
            <w:shd w:val="clear" w:color="auto" w:fill="auto"/>
            <w:vAlign w:val="center"/>
            <w:hideMark/>
          </w:tcPr>
          <w:p w14:paraId="0DFBB389" w14:textId="761B34AC"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20CA548B"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251DE4C" w14:textId="55446069"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545</w:t>
            </w:r>
          </w:p>
        </w:tc>
        <w:tc>
          <w:tcPr>
            <w:tcW w:w="3544" w:type="dxa"/>
            <w:tcBorders>
              <w:top w:val="nil"/>
              <w:left w:val="nil"/>
              <w:bottom w:val="single" w:sz="8" w:space="0" w:color="auto"/>
              <w:right w:val="single" w:sz="8" w:space="0" w:color="auto"/>
            </w:tcBorders>
            <w:shd w:val="clear" w:color="auto" w:fill="auto"/>
            <w:vAlign w:val="center"/>
            <w:hideMark/>
          </w:tcPr>
          <w:p w14:paraId="59C9DDC1" w14:textId="43D70CF7"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UNIVERSIDAD DE LA SIERRA JUÁREZ</w:t>
            </w:r>
          </w:p>
        </w:tc>
        <w:tc>
          <w:tcPr>
            <w:tcW w:w="1701" w:type="dxa"/>
            <w:tcBorders>
              <w:top w:val="nil"/>
              <w:left w:val="nil"/>
              <w:bottom w:val="single" w:sz="8" w:space="0" w:color="auto"/>
              <w:right w:val="single" w:sz="8" w:space="0" w:color="auto"/>
            </w:tcBorders>
            <w:shd w:val="clear" w:color="auto" w:fill="auto"/>
            <w:vAlign w:val="center"/>
            <w:hideMark/>
          </w:tcPr>
          <w:p w14:paraId="304D0E47" w14:textId="5D275A34"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112,507,897</w:t>
            </w:r>
          </w:p>
        </w:tc>
        <w:tc>
          <w:tcPr>
            <w:tcW w:w="1701" w:type="dxa"/>
            <w:tcBorders>
              <w:top w:val="nil"/>
              <w:left w:val="nil"/>
              <w:bottom w:val="single" w:sz="8" w:space="0" w:color="auto"/>
              <w:right w:val="single" w:sz="8" w:space="0" w:color="auto"/>
            </w:tcBorders>
            <w:shd w:val="clear" w:color="auto" w:fill="auto"/>
            <w:vAlign w:val="center"/>
            <w:hideMark/>
          </w:tcPr>
          <w:p w14:paraId="1729997B" w14:textId="5B5A9E74"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111,798,659</w:t>
            </w:r>
          </w:p>
        </w:tc>
        <w:tc>
          <w:tcPr>
            <w:tcW w:w="1559" w:type="dxa"/>
            <w:tcBorders>
              <w:top w:val="nil"/>
              <w:left w:val="nil"/>
              <w:bottom w:val="single" w:sz="8" w:space="0" w:color="auto"/>
              <w:right w:val="single" w:sz="8" w:space="0" w:color="auto"/>
            </w:tcBorders>
            <w:shd w:val="clear" w:color="auto" w:fill="auto"/>
            <w:vAlign w:val="center"/>
            <w:hideMark/>
          </w:tcPr>
          <w:p w14:paraId="31F1B570" w14:textId="791A198B"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-709,237</w:t>
            </w:r>
          </w:p>
        </w:tc>
      </w:tr>
      <w:tr w:rsidR="00CA6080" w:rsidRPr="00E859AF" w14:paraId="7161518A"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D1A1D95" w14:textId="7E045C86"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546</w:t>
            </w:r>
          </w:p>
        </w:tc>
        <w:tc>
          <w:tcPr>
            <w:tcW w:w="3544" w:type="dxa"/>
            <w:tcBorders>
              <w:top w:val="nil"/>
              <w:left w:val="nil"/>
              <w:bottom w:val="single" w:sz="8" w:space="0" w:color="auto"/>
              <w:right w:val="single" w:sz="8" w:space="0" w:color="auto"/>
            </w:tcBorders>
            <w:shd w:val="clear" w:color="auto" w:fill="auto"/>
            <w:vAlign w:val="center"/>
            <w:hideMark/>
          </w:tcPr>
          <w:p w14:paraId="3DEDA2BD" w14:textId="2E2C9CB6"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UNIVERSIDAD DE LA SIERRA SUR</w:t>
            </w:r>
          </w:p>
        </w:tc>
        <w:tc>
          <w:tcPr>
            <w:tcW w:w="1701" w:type="dxa"/>
            <w:tcBorders>
              <w:top w:val="nil"/>
              <w:left w:val="nil"/>
              <w:bottom w:val="single" w:sz="8" w:space="0" w:color="auto"/>
              <w:right w:val="single" w:sz="8" w:space="0" w:color="auto"/>
            </w:tcBorders>
            <w:shd w:val="clear" w:color="auto" w:fill="auto"/>
            <w:vAlign w:val="center"/>
            <w:hideMark/>
          </w:tcPr>
          <w:p w14:paraId="6088FCAF" w14:textId="7D6117E9"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359,557,387</w:t>
            </w:r>
          </w:p>
        </w:tc>
        <w:tc>
          <w:tcPr>
            <w:tcW w:w="1701" w:type="dxa"/>
            <w:tcBorders>
              <w:top w:val="nil"/>
              <w:left w:val="nil"/>
              <w:bottom w:val="single" w:sz="8" w:space="0" w:color="auto"/>
              <w:right w:val="single" w:sz="8" w:space="0" w:color="auto"/>
            </w:tcBorders>
            <w:shd w:val="clear" w:color="auto" w:fill="auto"/>
            <w:vAlign w:val="center"/>
            <w:hideMark/>
          </w:tcPr>
          <w:p w14:paraId="02529F1E" w14:textId="60DACF4A"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358,808,965</w:t>
            </w:r>
          </w:p>
        </w:tc>
        <w:tc>
          <w:tcPr>
            <w:tcW w:w="1559" w:type="dxa"/>
            <w:tcBorders>
              <w:top w:val="nil"/>
              <w:left w:val="nil"/>
              <w:bottom w:val="single" w:sz="8" w:space="0" w:color="auto"/>
              <w:right w:val="single" w:sz="8" w:space="0" w:color="auto"/>
            </w:tcBorders>
            <w:shd w:val="clear" w:color="auto" w:fill="auto"/>
            <w:vAlign w:val="center"/>
            <w:hideMark/>
          </w:tcPr>
          <w:p w14:paraId="36AEF7B3" w14:textId="0CF6E9E2"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-748,422</w:t>
            </w:r>
          </w:p>
        </w:tc>
      </w:tr>
      <w:tr w:rsidR="00CA6080" w:rsidRPr="00E859AF" w14:paraId="542BF28B"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D81FEDD" w14:textId="36301E03"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547</w:t>
            </w:r>
          </w:p>
        </w:tc>
        <w:tc>
          <w:tcPr>
            <w:tcW w:w="3544" w:type="dxa"/>
            <w:tcBorders>
              <w:top w:val="nil"/>
              <w:left w:val="nil"/>
              <w:bottom w:val="single" w:sz="8" w:space="0" w:color="auto"/>
              <w:right w:val="single" w:sz="8" w:space="0" w:color="auto"/>
            </w:tcBorders>
            <w:shd w:val="clear" w:color="auto" w:fill="auto"/>
            <w:vAlign w:val="center"/>
            <w:hideMark/>
          </w:tcPr>
          <w:p w14:paraId="3F1B3522" w14:textId="5B93EDA2"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UNIVERSIDAD DEL ISTMO</w:t>
            </w:r>
          </w:p>
        </w:tc>
        <w:tc>
          <w:tcPr>
            <w:tcW w:w="1701" w:type="dxa"/>
            <w:tcBorders>
              <w:top w:val="nil"/>
              <w:left w:val="nil"/>
              <w:bottom w:val="single" w:sz="8" w:space="0" w:color="auto"/>
              <w:right w:val="single" w:sz="8" w:space="0" w:color="auto"/>
            </w:tcBorders>
            <w:shd w:val="clear" w:color="auto" w:fill="auto"/>
            <w:vAlign w:val="center"/>
            <w:hideMark/>
          </w:tcPr>
          <w:p w14:paraId="11D232D2" w14:textId="6BC3FE7C"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346,307,158</w:t>
            </w:r>
          </w:p>
        </w:tc>
        <w:tc>
          <w:tcPr>
            <w:tcW w:w="1701" w:type="dxa"/>
            <w:tcBorders>
              <w:top w:val="nil"/>
              <w:left w:val="nil"/>
              <w:bottom w:val="single" w:sz="8" w:space="0" w:color="auto"/>
              <w:right w:val="single" w:sz="8" w:space="0" w:color="auto"/>
            </w:tcBorders>
            <w:shd w:val="clear" w:color="auto" w:fill="auto"/>
            <w:vAlign w:val="center"/>
            <w:hideMark/>
          </w:tcPr>
          <w:p w14:paraId="47F4511E" w14:textId="76D6BAD7"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343,169,905</w:t>
            </w:r>
          </w:p>
        </w:tc>
        <w:tc>
          <w:tcPr>
            <w:tcW w:w="1559" w:type="dxa"/>
            <w:tcBorders>
              <w:top w:val="nil"/>
              <w:left w:val="nil"/>
              <w:bottom w:val="single" w:sz="8" w:space="0" w:color="auto"/>
              <w:right w:val="single" w:sz="8" w:space="0" w:color="auto"/>
            </w:tcBorders>
            <w:shd w:val="clear" w:color="auto" w:fill="auto"/>
            <w:vAlign w:val="center"/>
            <w:hideMark/>
          </w:tcPr>
          <w:p w14:paraId="02D8D9E6" w14:textId="4A110948"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-3,137,253</w:t>
            </w:r>
          </w:p>
        </w:tc>
      </w:tr>
      <w:tr w:rsidR="00CA6080" w:rsidRPr="00E859AF" w14:paraId="709E733F"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5049BDC" w14:textId="650F06AE"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548</w:t>
            </w:r>
          </w:p>
        </w:tc>
        <w:tc>
          <w:tcPr>
            <w:tcW w:w="3544" w:type="dxa"/>
            <w:tcBorders>
              <w:top w:val="nil"/>
              <w:left w:val="nil"/>
              <w:bottom w:val="single" w:sz="8" w:space="0" w:color="auto"/>
              <w:right w:val="single" w:sz="8" w:space="0" w:color="auto"/>
            </w:tcBorders>
            <w:shd w:val="clear" w:color="auto" w:fill="auto"/>
            <w:vAlign w:val="center"/>
            <w:hideMark/>
          </w:tcPr>
          <w:p w14:paraId="0CDC1DD8" w14:textId="2CE4CD81"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UNIVERSIDAD DEL MAR</w:t>
            </w:r>
          </w:p>
        </w:tc>
        <w:tc>
          <w:tcPr>
            <w:tcW w:w="1701" w:type="dxa"/>
            <w:tcBorders>
              <w:top w:val="nil"/>
              <w:left w:val="nil"/>
              <w:bottom w:val="single" w:sz="8" w:space="0" w:color="auto"/>
              <w:right w:val="single" w:sz="8" w:space="0" w:color="auto"/>
            </w:tcBorders>
            <w:shd w:val="clear" w:color="auto" w:fill="auto"/>
            <w:vAlign w:val="center"/>
            <w:hideMark/>
          </w:tcPr>
          <w:p w14:paraId="73718F8D" w14:textId="57DEB643"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535,231,412</w:t>
            </w:r>
          </w:p>
        </w:tc>
        <w:tc>
          <w:tcPr>
            <w:tcW w:w="1701" w:type="dxa"/>
            <w:tcBorders>
              <w:top w:val="nil"/>
              <w:left w:val="nil"/>
              <w:bottom w:val="single" w:sz="8" w:space="0" w:color="auto"/>
              <w:right w:val="single" w:sz="8" w:space="0" w:color="auto"/>
            </w:tcBorders>
            <w:shd w:val="clear" w:color="auto" w:fill="auto"/>
            <w:vAlign w:val="center"/>
            <w:hideMark/>
          </w:tcPr>
          <w:p w14:paraId="669D1B3E" w14:textId="10B31FA1"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530,886,551</w:t>
            </w:r>
          </w:p>
        </w:tc>
        <w:tc>
          <w:tcPr>
            <w:tcW w:w="1559" w:type="dxa"/>
            <w:tcBorders>
              <w:top w:val="nil"/>
              <w:left w:val="nil"/>
              <w:bottom w:val="single" w:sz="8" w:space="0" w:color="auto"/>
              <w:right w:val="single" w:sz="8" w:space="0" w:color="auto"/>
            </w:tcBorders>
            <w:shd w:val="clear" w:color="auto" w:fill="auto"/>
            <w:vAlign w:val="center"/>
            <w:hideMark/>
          </w:tcPr>
          <w:p w14:paraId="342AFFA7" w14:textId="6D3C52F0"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-4,344,861</w:t>
            </w:r>
          </w:p>
        </w:tc>
      </w:tr>
      <w:tr w:rsidR="00CA6080" w:rsidRPr="00E859AF" w14:paraId="12BB75CC"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9B81FF7" w14:textId="3B9B4952"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549</w:t>
            </w:r>
          </w:p>
        </w:tc>
        <w:tc>
          <w:tcPr>
            <w:tcW w:w="3544" w:type="dxa"/>
            <w:tcBorders>
              <w:top w:val="nil"/>
              <w:left w:val="nil"/>
              <w:bottom w:val="single" w:sz="8" w:space="0" w:color="auto"/>
              <w:right w:val="single" w:sz="8" w:space="0" w:color="auto"/>
            </w:tcBorders>
            <w:shd w:val="clear" w:color="auto" w:fill="auto"/>
            <w:vAlign w:val="center"/>
            <w:hideMark/>
          </w:tcPr>
          <w:p w14:paraId="77AF05BE" w14:textId="14F13531"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UNIVERSIDAD DEL PAPALOAPAN</w:t>
            </w:r>
          </w:p>
        </w:tc>
        <w:tc>
          <w:tcPr>
            <w:tcW w:w="1701" w:type="dxa"/>
            <w:tcBorders>
              <w:top w:val="nil"/>
              <w:left w:val="nil"/>
              <w:bottom w:val="single" w:sz="8" w:space="0" w:color="auto"/>
              <w:right w:val="single" w:sz="8" w:space="0" w:color="auto"/>
            </w:tcBorders>
            <w:shd w:val="clear" w:color="auto" w:fill="auto"/>
            <w:vAlign w:val="center"/>
            <w:hideMark/>
          </w:tcPr>
          <w:p w14:paraId="107C4103" w14:textId="7E0BD45D"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234,211,366</w:t>
            </w:r>
          </w:p>
        </w:tc>
        <w:tc>
          <w:tcPr>
            <w:tcW w:w="1701" w:type="dxa"/>
            <w:tcBorders>
              <w:top w:val="nil"/>
              <w:left w:val="nil"/>
              <w:bottom w:val="single" w:sz="8" w:space="0" w:color="auto"/>
              <w:right w:val="single" w:sz="8" w:space="0" w:color="auto"/>
            </w:tcBorders>
            <w:shd w:val="clear" w:color="auto" w:fill="auto"/>
            <w:vAlign w:val="center"/>
            <w:hideMark/>
          </w:tcPr>
          <w:p w14:paraId="09D6D4A7" w14:textId="5137AEC2"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234,257,525</w:t>
            </w:r>
          </w:p>
        </w:tc>
        <w:tc>
          <w:tcPr>
            <w:tcW w:w="1559" w:type="dxa"/>
            <w:tcBorders>
              <w:top w:val="nil"/>
              <w:left w:val="nil"/>
              <w:bottom w:val="single" w:sz="8" w:space="0" w:color="auto"/>
              <w:right w:val="single" w:sz="8" w:space="0" w:color="auto"/>
            </w:tcBorders>
            <w:shd w:val="clear" w:color="auto" w:fill="auto"/>
            <w:vAlign w:val="center"/>
            <w:hideMark/>
          </w:tcPr>
          <w:p w14:paraId="11A8C5DD" w14:textId="66805877"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46,158</w:t>
            </w:r>
          </w:p>
        </w:tc>
      </w:tr>
      <w:tr w:rsidR="00CA6080" w:rsidRPr="00E859AF" w14:paraId="1243C486"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CA2C3AA" w14:textId="680302AA"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550</w:t>
            </w:r>
          </w:p>
        </w:tc>
        <w:tc>
          <w:tcPr>
            <w:tcW w:w="3544" w:type="dxa"/>
            <w:tcBorders>
              <w:top w:val="nil"/>
              <w:left w:val="nil"/>
              <w:bottom w:val="single" w:sz="8" w:space="0" w:color="auto"/>
              <w:right w:val="single" w:sz="8" w:space="0" w:color="auto"/>
            </w:tcBorders>
            <w:shd w:val="clear" w:color="auto" w:fill="auto"/>
            <w:vAlign w:val="center"/>
            <w:hideMark/>
          </w:tcPr>
          <w:p w14:paraId="4B391F35" w14:textId="0C7CF2A0"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UNIVERSIDAD TECNOLÓGICA DE LA MIXTECA</w:t>
            </w:r>
          </w:p>
        </w:tc>
        <w:tc>
          <w:tcPr>
            <w:tcW w:w="1701" w:type="dxa"/>
            <w:tcBorders>
              <w:top w:val="nil"/>
              <w:left w:val="nil"/>
              <w:bottom w:val="single" w:sz="8" w:space="0" w:color="auto"/>
              <w:right w:val="single" w:sz="8" w:space="0" w:color="auto"/>
            </w:tcBorders>
            <w:shd w:val="clear" w:color="auto" w:fill="auto"/>
            <w:vAlign w:val="center"/>
            <w:hideMark/>
          </w:tcPr>
          <w:p w14:paraId="696F14E9" w14:textId="02593299"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282,687,466</w:t>
            </w:r>
          </w:p>
        </w:tc>
        <w:tc>
          <w:tcPr>
            <w:tcW w:w="1701" w:type="dxa"/>
            <w:tcBorders>
              <w:top w:val="nil"/>
              <w:left w:val="nil"/>
              <w:bottom w:val="single" w:sz="8" w:space="0" w:color="auto"/>
              <w:right w:val="single" w:sz="8" w:space="0" w:color="auto"/>
            </w:tcBorders>
            <w:shd w:val="clear" w:color="auto" w:fill="auto"/>
            <w:vAlign w:val="center"/>
            <w:hideMark/>
          </w:tcPr>
          <w:p w14:paraId="6582149F" w14:textId="4062F56D"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277,025,868</w:t>
            </w:r>
          </w:p>
        </w:tc>
        <w:tc>
          <w:tcPr>
            <w:tcW w:w="1559" w:type="dxa"/>
            <w:tcBorders>
              <w:top w:val="nil"/>
              <w:left w:val="nil"/>
              <w:bottom w:val="single" w:sz="8" w:space="0" w:color="auto"/>
              <w:right w:val="single" w:sz="8" w:space="0" w:color="auto"/>
            </w:tcBorders>
            <w:shd w:val="clear" w:color="auto" w:fill="auto"/>
            <w:vAlign w:val="center"/>
            <w:hideMark/>
          </w:tcPr>
          <w:p w14:paraId="4A5DF9C5" w14:textId="31398AE1"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-5,661,598</w:t>
            </w:r>
          </w:p>
        </w:tc>
      </w:tr>
      <w:tr w:rsidR="00CA6080" w:rsidRPr="00E859AF" w14:paraId="5DE025A8"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CD706DF" w14:textId="784A6CF9"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551</w:t>
            </w:r>
          </w:p>
        </w:tc>
        <w:tc>
          <w:tcPr>
            <w:tcW w:w="3544" w:type="dxa"/>
            <w:tcBorders>
              <w:top w:val="nil"/>
              <w:left w:val="nil"/>
              <w:bottom w:val="single" w:sz="8" w:space="0" w:color="auto"/>
              <w:right w:val="single" w:sz="8" w:space="0" w:color="auto"/>
            </w:tcBorders>
            <w:shd w:val="clear" w:color="auto" w:fill="auto"/>
            <w:vAlign w:val="center"/>
            <w:hideMark/>
          </w:tcPr>
          <w:p w14:paraId="702F69B5" w14:textId="6C780124"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UNIVERSIDAD TECNOLÓGICA DE LA SIERRA SUR DE OAXACA</w:t>
            </w:r>
          </w:p>
        </w:tc>
        <w:tc>
          <w:tcPr>
            <w:tcW w:w="1701" w:type="dxa"/>
            <w:tcBorders>
              <w:top w:val="nil"/>
              <w:left w:val="nil"/>
              <w:bottom w:val="single" w:sz="8" w:space="0" w:color="auto"/>
              <w:right w:val="single" w:sz="8" w:space="0" w:color="auto"/>
            </w:tcBorders>
            <w:shd w:val="clear" w:color="auto" w:fill="auto"/>
            <w:vAlign w:val="center"/>
            <w:hideMark/>
          </w:tcPr>
          <w:p w14:paraId="65F736A5" w14:textId="28F46CF1"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8,386,004</w:t>
            </w:r>
          </w:p>
        </w:tc>
        <w:tc>
          <w:tcPr>
            <w:tcW w:w="1701" w:type="dxa"/>
            <w:tcBorders>
              <w:top w:val="nil"/>
              <w:left w:val="nil"/>
              <w:bottom w:val="single" w:sz="8" w:space="0" w:color="auto"/>
              <w:right w:val="single" w:sz="8" w:space="0" w:color="auto"/>
            </w:tcBorders>
            <w:shd w:val="clear" w:color="auto" w:fill="auto"/>
            <w:vAlign w:val="center"/>
            <w:hideMark/>
          </w:tcPr>
          <w:p w14:paraId="57F83560" w14:textId="703CF49C"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8,383,211</w:t>
            </w:r>
          </w:p>
        </w:tc>
        <w:tc>
          <w:tcPr>
            <w:tcW w:w="1559" w:type="dxa"/>
            <w:tcBorders>
              <w:top w:val="nil"/>
              <w:left w:val="nil"/>
              <w:bottom w:val="single" w:sz="8" w:space="0" w:color="auto"/>
              <w:right w:val="single" w:sz="8" w:space="0" w:color="auto"/>
            </w:tcBorders>
            <w:shd w:val="clear" w:color="auto" w:fill="auto"/>
            <w:vAlign w:val="center"/>
            <w:hideMark/>
          </w:tcPr>
          <w:p w14:paraId="6824911E" w14:textId="07B94D2A"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-2,793</w:t>
            </w:r>
          </w:p>
        </w:tc>
      </w:tr>
      <w:tr w:rsidR="00CA6080" w:rsidRPr="00E859AF" w14:paraId="466239B4"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B117E3C" w14:textId="162AA12D"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lastRenderedPageBreak/>
              <w:t>552</w:t>
            </w:r>
          </w:p>
        </w:tc>
        <w:tc>
          <w:tcPr>
            <w:tcW w:w="3544" w:type="dxa"/>
            <w:tcBorders>
              <w:top w:val="nil"/>
              <w:left w:val="nil"/>
              <w:bottom w:val="single" w:sz="8" w:space="0" w:color="auto"/>
              <w:right w:val="single" w:sz="8" w:space="0" w:color="auto"/>
            </w:tcBorders>
            <w:shd w:val="clear" w:color="auto" w:fill="auto"/>
            <w:vAlign w:val="center"/>
            <w:hideMark/>
          </w:tcPr>
          <w:p w14:paraId="6924CCB0" w14:textId="54A55752"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UNIVERSIDAD TECNOLÓGICA DE LOS VALLES CENTRALES DE OAXACA</w:t>
            </w:r>
          </w:p>
        </w:tc>
        <w:tc>
          <w:tcPr>
            <w:tcW w:w="1701" w:type="dxa"/>
            <w:tcBorders>
              <w:top w:val="nil"/>
              <w:left w:val="nil"/>
              <w:bottom w:val="single" w:sz="8" w:space="0" w:color="auto"/>
              <w:right w:val="single" w:sz="8" w:space="0" w:color="auto"/>
            </w:tcBorders>
            <w:shd w:val="clear" w:color="auto" w:fill="auto"/>
            <w:vAlign w:val="center"/>
            <w:hideMark/>
          </w:tcPr>
          <w:p w14:paraId="43CD76BF" w14:textId="2192D4FC"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81,461,811</w:t>
            </w:r>
          </w:p>
        </w:tc>
        <w:tc>
          <w:tcPr>
            <w:tcW w:w="1701" w:type="dxa"/>
            <w:tcBorders>
              <w:top w:val="nil"/>
              <w:left w:val="nil"/>
              <w:bottom w:val="single" w:sz="8" w:space="0" w:color="auto"/>
              <w:right w:val="single" w:sz="8" w:space="0" w:color="auto"/>
            </w:tcBorders>
            <w:shd w:val="clear" w:color="auto" w:fill="auto"/>
            <w:vAlign w:val="center"/>
            <w:hideMark/>
          </w:tcPr>
          <w:p w14:paraId="3C514C10" w14:textId="6D45F3E5"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80,848,685</w:t>
            </w:r>
          </w:p>
        </w:tc>
        <w:tc>
          <w:tcPr>
            <w:tcW w:w="1559" w:type="dxa"/>
            <w:tcBorders>
              <w:top w:val="nil"/>
              <w:left w:val="nil"/>
              <w:bottom w:val="single" w:sz="8" w:space="0" w:color="auto"/>
              <w:right w:val="single" w:sz="8" w:space="0" w:color="auto"/>
            </w:tcBorders>
            <w:shd w:val="clear" w:color="auto" w:fill="auto"/>
            <w:vAlign w:val="center"/>
            <w:hideMark/>
          </w:tcPr>
          <w:p w14:paraId="15DFD104" w14:textId="3CB6C2AF"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-613,126</w:t>
            </w:r>
          </w:p>
        </w:tc>
      </w:tr>
      <w:tr w:rsidR="00CA6080" w:rsidRPr="00E859AF" w14:paraId="29E3D007"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14C9185" w14:textId="19D0A497"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554</w:t>
            </w:r>
          </w:p>
        </w:tc>
        <w:tc>
          <w:tcPr>
            <w:tcW w:w="3544" w:type="dxa"/>
            <w:tcBorders>
              <w:top w:val="nil"/>
              <w:left w:val="nil"/>
              <w:bottom w:val="single" w:sz="8" w:space="0" w:color="auto"/>
              <w:right w:val="single" w:sz="8" w:space="0" w:color="auto"/>
            </w:tcBorders>
            <w:shd w:val="clear" w:color="auto" w:fill="auto"/>
            <w:vAlign w:val="center"/>
            <w:hideMark/>
          </w:tcPr>
          <w:p w14:paraId="31778112" w14:textId="61C719F8"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DEFENSORÍA PÚBLICA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509F5CA4" w14:textId="540549F1"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2,159,105</w:t>
            </w:r>
          </w:p>
        </w:tc>
        <w:tc>
          <w:tcPr>
            <w:tcW w:w="1701" w:type="dxa"/>
            <w:tcBorders>
              <w:top w:val="nil"/>
              <w:left w:val="nil"/>
              <w:bottom w:val="single" w:sz="8" w:space="0" w:color="auto"/>
              <w:right w:val="single" w:sz="8" w:space="0" w:color="auto"/>
            </w:tcBorders>
            <w:shd w:val="clear" w:color="auto" w:fill="auto"/>
            <w:vAlign w:val="center"/>
            <w:hideMark/>
          </w:tcPr>
          <w:p w14:paraId="0CB1D5E6" w14:textId="17F98A3A"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2,159,105</w:t>
            </w:r>
          </w:p>
        </w:tc>
        <w:tc>
          <w:tcPr>
            <w:tcW w:w="1559" w:type="dxa"/>
            <w:tcBorders>
              <w:top w:val="nil"/>
              <w:left w:val="nil"/>
              <w:bottom w:val="single" w:sz="8" w:space="0" w:color="auto"/>
              <w:right w:val="single" w:sz="8" w:space="0" w:color="auto"/>
            </w:tcBorders>
            <w:shd w:val="clear" w:color="auto" w:fill="auto"/>
            <w:vAlign w:val="center"/>
            <w:hideMark/>
          </w:tcPr>
          <w:p w14:paraId="1D6795A0" w14:textId="21E2024B"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0B7B9839"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3B05929" w14:textId="76E6702A"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558</w:t>
            </w:r>
          </w:p>
        </w:tc>
        <w:tc>
          <w:tcPr>
            <w:tcW w:w="3544" w:type="dxa"/>
            <w:tcBorders>
              <w:top w:val="nil"/>
              <w:left w:val="nil"/>
              <w:bottom w:val="single" w:sz="8" w:space="0" w:color="auto"/>
              <w:right w:val="single" w:sz="8" w:space="0" w:color="auto"/>
            </w:tcBorders>
            <w:shd w:val="clear" w:color="auto" w:fill="auto"/>
            <w:vAlign w:val="center"/>
            <w:hideMark/>
          </w:tcPr>
          <w:p w14:paraId="3F5951B6" w14:textId="5AAFA64D"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INSTITUTO DE LA FUNCIÓN REGISTRAL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60A08875" w14:textId="4FB258DC"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30,684,493</w:t>
            </w:r>
          </w:p>
        </w:tc>
        <w:tc>
          <w:tcPr>
            <w:tcW w:w="1701" w:type="dxa"/>
            <w:tcBorders>
              <w:top w:val="nil"/>
              <w:left w:val="nil"/>
              <w:bottom w:val="single" w:sz="8" w:space="0" w:color="auto"/>
              <w:right w:val="single" w:sz="8" w:space="0" w:color="auto"/>
            </w:tcBorders>
            <w:shd w:val="clear" w:color="auto" w:fill="auto"/>
            <w:vAlign w:val="center"/>
            <w:hideMark/>
          </w:tcPr>
          <w:p w14:paraId="099FEC70" w14:textId="2CD15B27"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30,684,493</w:t>
            </w:r>
          </w:p>
        </w:tc>
        <w:tc>
          <w:tcPr>
            <w:tcW w:w="1559" w:type="dxa"/>
            <w:tcBorders>
              <w:top w:val="nil"/>
              <w:left w:val="nil"/>
              <w:bottom w:val="single" w:sz="8" w:space="0" w:color="auto"/>
              <w:right w:val="single" w:sz="8" w:space="0" w:color="auto"/>
            </w:tcBorders>
            <w:shd w:val="clear" w:color="auto" w:fill="auto"/>
            <w:vAlign w:val="center"/>
            <w:hideMark/>
          </w:tcPr>
          <w:p w14:paraId="573E48CC" w14:textId="5AD95229"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1BF7B3DC" w14:textId="77777777" w:rsidTr="006B53F3">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F8B7B94" w14:textId="36592CB2"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559</w:t>
            </w:r>
          </w:p>
        </w:tc>
        <w:tc>
          <w:tcPr>
            <w:tcW w:w="3544" w:type="dxa"/>
            <w:tcBorders>
              <w:top w:val="nil"/>
              <w:left w:val="nil"/>
              <w:bottom w:val="single" w:sz="8" w:space="0" w:color="auto"/>
              <w:right w:val="single" w:sz="8" w:space="0" w:color="auto"/>
            </w:tcBorders>
            <w:shd w:val="clear" w:color="auto" w:fill="auto"/>
            <w:vAlign w:val="center"/>
            <w:hideMark/>
          </w:tcPr>
          <w:p w14:paraId="4510B16F" w14:textId="296CBCBB"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SECRETARÍA EJECUTIVA DEL SISTEMA ESTATAL DE COMBATE A LA CORRUPCIÓN</w:t>
            </w:r>
          </w:p>
        </w:tc>
        <w:tc>
          <w:tcPr>
            <w:tcW w:w="1701" w:type="dxa"/>
            <w:tcBorders>
              <w:top w:val="nil"/>
              <w:left w:val="nil"/>
              <w:bottom w:val="single" w:sz="8" w:space="0" w:color="auto"/>
              <w:right w:val="single" w:sz="8" w:space="0" w:color="auto"/>
            </w:tcBorders>
            <w:shd w:val="clear" w:color="auto" w:fill="auto"/>
            <w:vAlign w:val="center"/>
            <w:hideMark/>
          </w:tcPr>
          <w:p w14:paraId="2C73D2E8" w14:textId="17DF43EB"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825,355</w:t>
            </w:r>
          </w:p>
        </w:tc>
        <w:tc>
          <w:tcPr>
            <w:tcW w:w="1701" w:type="dxa"/>
            <w:tcBorders>
              <w:top w:val="nil"/>
              <w:left w:val="nil"/>
              <w:bottom w:val="single" w:sz="8" w:space="0" w:color="auto"/>
              <w:right w:val="single" w:sz="8" w:space="0" w:color="auto"/>
            </w:tcBorders>
            <w:shd w:val="clear" w:color="auto" w:fill="auto"/>
            <w:vAlign w:val="center"/>
            <w:hideMark/>
          </w:tcPr>
          <w:p w14:paraId="726ED11D" w14:textId="2BC888D4"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c>
          <w:tcPr>
            <w:tcW w:w="1559" w:type="dxa"/>
            <w:tcBorders>
              <w:top w:val="nil"/>
              <w:left w:val="nil"/>
              <w:bottom w:val="single" w:sz="8" w:space="0" w:color="auto"/>
              <w:right w:val="single" w:sz="8" w:space="0" w:color="auto"/>
            </w:tcBorders>
            <w:shd w:val="clear" w:color="auto" w:fill="auto"/>
            <w:vAlign w:val="center"/>
            <w:hideMark/>
          </w:tcPr>
          <w:p w14:paraId="205946A4" w14:textId="7C0B6FBF"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-825355.48</w:t>
            </w:r>
          </w:p>
        </w:tc>
      </w:tr>
      <w:tr w:rsidR="00CA6080" w:rsidRPr="00E859AF" w14:paraId="31191425" w14:textId="77777777" w:rsidTr="006B53F3">
        <w:trPr>
          <w:trHeight w:val="15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8BBADD5" w14:textId="4FBD8619"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561</w:t>
            </w:r>
          </w:p>
        </w:tc>
        <w:tc>
          <w:tcPr>
            <w:tcW w:w="3544" w:type="dxa"/>
            <w:tcBorders>
              <w:top w:val="nil"/>
              <w:left w:val="nil"/>
              <w:bottom w:val="single" w:sz="8" w:space="0" w:color="auto"/>
              <w:right w:val="single" w:sz="8" w:space="0" w:color="auto"/>
            </w:tcBorders>
            <w:shd w:val="clear" w:color="auto" w:fill="auto"/>
            <w:vAlign w:val="center"/>
            <w:hideMark/>
          </w:tcPr>
          <w:p w14:paraId="23086C9E" w14:textId="6B43DDB8"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ORGANISMO OPERADOR ENCARGADO DE LA GESTIÓN Y MANEJO INTEGRAL DE LOS RESIDUOS SÓLIDOS URBANOS Y DE MANEJO ESPECIAL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153BB1A2" w14:textId="3229C00A"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22,192,618</w:t>
            </w:r>
          </w:p>
        </w:tc>
        <w:tc>
          <w:tcPr>
            <w:tcW w:w="1701" w:type="dxa"/>
            <w:tcBorders>
              <w:top w:val="nil"/>
              <w:left w:val="nil"/>
              <w:bottom w:val="single" w:sz="8" w:space="0" w:color="auto"/>
              <w:right w:val="single" w:sz="8" w:space="0" w:color="auto"/>
            </w:tcBorders>
            <w:shd w:val="clear" w:color="auto" w:fill="auto"/>
            <w:vAlign w:val="center"/>
            <w:hideMark/>
          </w:tcPr>
          <w:p w14:paraId="2E1A4B3A" w14:textId="033BC95A"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22,188,242</w:t>
            </w:r>
          </w:p>
        </w:tc>
        <w:tc>
          <w:tcPr>
            <w:tcW w:w="1559" w:type="dxa"/>
            <w:tcBorders>
              <w:top w:val="nil"/>
              <w:left w:val="nil"/>
              <w:bottom w:val="single" w:sz="8" w:space="0" w:color="auto"/>
              <w:right w:val="single" w:sz="8" w:space="0" w:color="auto"/>
            </w:tcBorders>
            <w:shd w:val="clear" w:color="auto" w:fill="auto"/>
            <w:vAlign w:val="center"/>
            <w:hideMark/>
          </w:tcPr>
          <w:p w14:paraId="41C4AC76" w14:textId="7C00FFAA"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-4,376</w:t>
            </w:r>
          </w:p>
        </w:tc>
      </w:tr>
      <w:tr w:rsidR="00CA6080" w:rsidRPr="00E859AF" w14:paraId="03D32DBE"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A268AC9" w14:textId="050DBF12"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562</w:t>
            </w:r>
          </w:p>
        </w:tc>
        <w:tc>
          <w:tcPr>
            <w:tcW w:w="3544" w:type="dxa"/>
            <w:tcBorders>
              <w:top w:val="nil"/>
              <w:left w:val="nil"/>
              <w:bottom w:val="single" w:sz="8" w:space="0" w:color="auto"/>
              <w:right w:val="single" w:sz="8" w:space="0" w:color="auto"/>
            </w:tcBorders>
            <w:shd w:val="clear" w:color="auto" w:fill="auto"/>
            <w:vAlign w:val="center"/>
            <w:hideMark/>
          </w:tcPr>
          <w:p w14:paraId="23A71577" w14:textId="57C84DED"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COORDINACIÓN DE DELEGADOS DE PAZ SOCIAL</w:t>
            </w:r>
          </w:p>
        </w:tc>
        <w:tc>
          <w:tcPr>
            <w:tcW w:w="1701" w:type="dxa"/>
            <w:tcBorders>
              <w:top w:val="nil"/>
              <w:left w:val="nil"/>
              <w:bottom w:val="single" w:sz="8" w:space="0" w:color="auto"/>
              <w:right w:val="single" w:sz="8" w:space="0" w:color="auto"/>
            </w:tcBorders>
            <w:shd w:val="clear" w:color="auto" w:fill="auto"/>
            <w:vAlign w:val="center"/>
            <w:hideMark/>
          </w:tcPr>
          <w:p w14:paraId="5BEF44E7" w14:textId="6A9F7BFE"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1,389,035</w:t>
            </w:r>
          </w:p>
        </w:tc>
        <w:tc>
          <w:tcPr>
            <w:tcW w:w="1701" w:type="dxa"/>
            <w:tcBorders>
              <w:top w:val="nil"/>
              <w:left w:val="nil"/>
              <w:bottom w:val="single" w:sz="8" w:space="0" w:color="auto"/>
              <w:right w:val="single" w:sz="8" w:space="0" w:color="auto"/>
            </w:tcBorders>
            <w:shd w:val="clear" w:color="auto" w:fill="auto"/>
            <w:vAlign w:val="center"/>
            <w:hideMark/>
          </w:tcPr>
          <w:p w14:paraId="0533477C" w14:textId="4ADEBF52"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1,389,035</w:t>
            </w:r>
          </w:p>
        </w:tc>
        <w:tc>
          <w:tcPr>
            <w:tcW w:w="1559" w:type="dxa"/>
            <w:tcBorders>
              <w:top w:val="nil"/>
              <w:left w:val="nil"/>
              <w:bottom w:val="single" w:sz="8" w:space="0" w:color="auto"/>
              <w:right w:val="single" w:sz="8" w:space="0" w:color="auto"/>
            </w:tcBorders>
            <w:shd w:val="clear" w:color="auto" w:fill="auto"/>
            <w:vAlign w:val="center"/>
            <w:hideMark/>
          </w:tcPr>
          <w:p w14:paraId="1B4A134D" w14:textId="6AECA555"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4ADB1AC7"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78E9169" w14:textId="05FA1CB6"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563</w:t>
            </w:r>
          </w:p>
        </w:tc>
        <w:tc>
          <w:tcPr>
            <w:tcW w:w="3544" w:type="dxa"/>
            <w:tcBorders>
              <w:top w:val="nil"/>
              <w:left w:val="nil"/>
              <w:bottom w:val="single" w:sz="8" w:space="0" w:color="auto"/>
              <w:right w:val="single" w:sz="8" w:space="0" w:color="auto"/>
            </w:tcBorders>
            <w:shd w:val="clear" w:color="auto" w:fill="auto"/>
            <w:vAlign w:val="center"/>
            <w:hideMark/>
          </w:tcPr>
          <w:p w14:paraId="136D5C9D" w14:textId="2676C9B1"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TELEBACHILLERATO COMUNITARIO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6586A2FD" w14:textId="28EABA0F"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4,601,289</w:t>
            </w:r>
          </w:p>
        </w:tc>
        <w:tc>
          <w:tcPr>
            <w:tcW w:w="1701" w:type="dxa"/>
            <w:tcBorders>
              <w:top w:val="nil"/>
              <w:left w:val="nil"/>
              <w:bottom w:val="single" w:sz="8" w:space="0" w:color="auto"/>
              <w:right w:val="single" w:sz="8" w:space="0" w:color="auto"/>
            </w:tcBorders>
            <w:shd w:val="clear" w:color="auto" w:fill="auto"/>
            <w:vAlign w:val="center"/>
            <w:hideMark/>
          </w:tcPr>
          <w:p w14:paraId="7927A756" w14:textId="5D9D766D"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4,601,289</w:t>
            </w:r>
          </w:p>
        </w:tc>
        <w:tc>
          <w:tcPr>
            <w:tcW w:w="1559" w:type="dxa"/>
            <w:tcBorders>
              <w:top w:val="nil"/>
              <w:left w:val="nil"/>
              <w:bottom w:val="single" w:sz="8" w:space="0" w:color="auto"/>
              <w:right w:val="single" w:sz="8" w:space="0" w:color="auto"/>
            </w:tcBorders>
            <w:shd w:val="clear" w:color="auto" w:fill="auto"/>
            <w:vAlign w:val="center"/>
            <w:hideMark/>
          </w:tcPr>
          <w:p w14:paraId="014B8FDF" w14:textId="16685CBB"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3F8C1810" w14:textId="77777777" w:rsidTr="006B53F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29F2A0C" w14:textId="4D53B224"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565</w:t>
            </w:r>
          </w:p>
        </w:tc>
        <w:tc>
          <w:tcPr>
            <w:tcW w:w="3544" w:type="dxa"/>
            <w:tcBorders>
              <w:top w:val="nil"/>
              <w:left w:val="nil"/>
              <w:bottom w:val="single" w:sz="8" w:space="0" w:color="auto"/>
              <w:right w:val="single" w:sz="8" w:space="0" w:color="auto"/>
            </w:tcBorders>
            <w:shd w:val="clear" w:color="auto" w:fill="auto"/>
            <w:vAlign w:val="center"/>
            <w:hideMark/>
          </w:tcPr>
          <w:p w14:paraId="3F1CE6ED" w14:textId="77CBB285"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INSTITUTO DEL DEPORTE</w:t>
            </w:r>
          </w:p>
        </w:tc>
        <w:tc>
          <w:tcPr>
            <w:tcW w:w="1701" w:type="dxa"/>
            <w:tcBorders>
              <w:top w:val="nil"/>
              <w:left w:val="nil"/>
              <w:bottom w:val="single" w:sz="8" w:space="0" w:color="auto"/>
              <w:right w:val="single" w:sz="8" w:space="0" w:color="auto"/>
            </w:tcBorders>
            <w:shd w:val="clear" w:color="auto" w:fill="auto"/>
            <w:vAlign w:val="center"/>
            <w:hideMark/>
          </w:tcPr>
          <w:p w14:paraId="52D3E066" w14:textId="16AD501F"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4,425,020</w:t>
            </w:r>
          </w:p>
        </w:tc>
        <w:tc>
          <w:tcPr>
            <w:tcW w:w="1701" w:type="dxa"/>
            <w:tcBorders>
              <w:top w:val="nil"/>
              <w:left w:val="nil"/>
              <w:bottom w:val="single" w:sz="8" w:space="0" w:color="auto"/>
              <w:right w:val="single" w:sz="8" w:space="0" w:color="auto"/>
            </w:tcBorders>
            <w:shd w:val="clear" w:color="auto" w:fill="auto"/>
            <w:vAlign w:val="center"/>
            <w:hideMark/>
          </w:tcPr>
          <w:p w14:paraId="25547BC7" w14:textId="7687425F"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4,380,440</w:t>
            </w:r>
          </w:p>
        </w:tc>
        <w:tc>
          <w:tcPr>
            <w:tcW w:w="1559" w:type="dxa"/>
            <w:tcBorders>
              <w:top w:val="nil"/>
              <w:left w:val="nil"/>
              <w:bottom w:val="single" w:sz="8" w:space="0" w:color="auto"/>
              <w:right w:val="single" w:sz="8" w:space="0" w:color="auto"/>
            </w:tcBorders>
            <w:shd w:val="clear" w:color="auto" w:fill="auto"/>
            <w:vAlign w:val="center"/>
            <w:hideMark/>
          </w:tcPr>
          <w:p w14:paraId="351D4926" w14:textId="27410F0E"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-44,580</w:t>
            </w:r>
          </w:p>
        </w:tc>
      </w:tr>
      <w:tr w:rsidR="00CA6080" w:rsidRPr="00E859AF" w14:paraId="570C718A"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C83EECE" w14:textId="3247AB8E"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568</w:t>
            </w:r>
          </w:p>
        </w:tc>
        <w:tc>
          <w:tcPr>
            <w:tcW w:w="3544" w:type="dxa"/>
            <w:tcBorders>
              <w:top w:val="nil"/>
              <w:left w:val="nil"/>
              <w:bottom w:val="single" w:sz="8" w:space="0" w:color="auto"/>
              <w:right w:val="single" w:sz="8" w:space="0" w:color="auto"/>
            </w:tcBorders>
            <w:shd w:val="clear" w:color="auto" w:fill="auto"/>
            <w:vAlign w:val="center"/>
            <w:hideMark/>
          </w:tcPr>
          <w:p w14:paraId="6C6D6299" w14:textId="7FB6C9B9"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SISTEMA DE TRANSPORTE COLECTIVO METROPOLITANO CITYBUS OAXACA</w:t>
            </w:r>
          </w:p>
        </w:tc>
        <w:tc>
          <w:tcPr>
            <w:tcW w:w="1701" w:type="dxa"/>
            <w:tcBorders>
              <w:top w:val="nil"/>
              <w:left w:val="nil"/>
              <w:bottom w:val="single" w:sz="8" w:space="0" w:color="auto"/>
              <w:right w:val="single" w:sz="8" w:space="0" w:color="auto"/>
            </w:tcBorders>
            <w:shd w:val="clear" w:color="auto" w:fill="auto"/>
            <w:vAlign w:val="center"/>
            <w:hideMark/>
          </w:tcPr>
          <w:p w14:paraId="3B6C7AE6" w14:textId="3471C8F5"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83,553,110</w:t>
            </w:r>
          </w:p>
        </w:tc>
        <w:tc>
          <w:tcPr>
            <w:tcW w:w="1701" w:type="dxa"/>
            <w:tcBorders>
              <w:top w:val="nil"/>
              <w:left w:val="nil"/>
              <w:bottom w:val="single" w:sz="8" w:space="0" w:color="auto"/>
              <w:right w:val="single" w:sz="8" w:space="0" w:color="auto"/>
            </w:tcBorders>
            <w:shd w:val="clear" w:color="auto" w:fill="auto"/>
            <w:vAlign w:val="center"/>
            <w:hideMark/>
          </w:tcPr>
          <w:p w14:paraId="4BB39203" w14:textId="39A71504"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83,713,110</w:t>
            </w:r>
          </w:p>
        </w:tc>
        <w:tc>
          <w:tcPr>
            <w:tcW w:w="1559" w:type="dxa"/>
            <w:tcBorders>
              <w:top w:val="nil"/>
              <w:left w:val="nil"/>
              <w:bottom w:val="single" w:sz="8" w:space="0" w:color="auto"/>
              <w:right w:val="single" w:sz="8" w:space="0" w:color="auto"/>
            </w:tcBorders>
            <w:shd w:val="clear" w:color="auto" w:fill="auto"/>
            <w:vAlign w:val="center"/>
            <w:hideMark/>
          </w:tcPr>
          <w:p w14:paraId="42F5495E" w14:textId="39416176"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160,000</w:t>
            </w:r>
          </w:p>
        </w:tc>
      </w:tr>
      <w:tr w:rsidR="00CA6080" w:rsidRPr="00E859AF" w14:paraId="10D15DB9"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36CA589" w14:textId="126D8471"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569</w:t>
            </w:r>
          </w:p>
        </w:tc>
        <w:tc>
          <w:tcPr>
            <w:tcW w:w="3544" w:type="dxa"/>
            <w:tcBorders>
              <w:top w:val="nil"/>
              <w:left w:val="nil"/>
              <w:bottom w:val="single" w:sz="8" w:space="0" w:color="auto"/>
              <w:right w:val="single" w:sz="8" w:space="0" w:color="auto"/>
            </w:tcBorders>
            <w:shd w:val="clear" w:color="auto" w:fill="auto"/>
            <w:vAlign w:val="center"/>
            <w:hideMark/>
          </w:tcPr>
          <w:p w14:paraId="4A17298C" w14:textId="2AC31ACF"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UNIVERSIDAD POLITÉCNICA DE NOCHIXTLÁN ABRAHAM CASTELLANOS</w:t>
            </w:r>
          </w:p>
        </w:tc>
        <w:tc>
          <w:tcPr>
            <w:tcW w:w="1701" w:type="dxa"/>
            <w:tcBorders>
              <w:top w:val="nil"/>
              <w:left w:val="nil"/>
              <w:bottom w:val="single" w:sz="8" w:space="0" w:color="auto"/>
              <w:right w:val="single" w:sz="8" w:space="0" w:color="auto"/>
            </w:tcBorders>
            <w:shd w:val="clear" w:color="auto" w:fill="auto"/>
            <w:vAlign w:val="center"/>
            <w:hideMark/>
          </w:tcPr>
          <w:p w14:paraId="75A1C336" w14:textId="7F2F2D2C"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2,337,549</w:t>
            </w:r>
          </w:p>
        </w:tc>
        <w:tc>
          <w:tcPr>
            <w:tcW w:w="1701" w:type="dxa"/>
            <w:tcBorders>
              <w:top w:val="nil"/>
              <w:left w:val="nil"/>
              <w:bottom w:val="single" w:sz="8" w:space="0" w:color="auto"/>
              <w:right w:val="single" w:sz="8" w:space="0" w:color="auto"/>
            </w:tcBorders>
            <w:shd w:val="clear" w:color="auto" w:fill="auto"/>
            <w:vAlign w:val="center"/>
            <w:hideMark/>
          </w:tcPr>
          <w:p w14:paraId="59CAE946" w14:textId="1EFC99A1"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2,336,059</w:t>
            </w:r>
          </w:p>
        </w:tc>
        <w:tc>
          <w:tcPr>
            <w:tcW w:w="1559" w:type="dxa"/>
            <w:tcBorders>
              <w:top w:val="nil"/>
              <w:left w:val="nil"/>
              <w:bottom w:val="single" w:sz="8" w:space="0" w:color="auto"/>
              <w:right w:val="single" w:sz="8" w:space="0" w:color="auto"/>
            </w:tcBorders>
            <w:shd w:val="clear" w:color="auto" w:fill="auto"/>
            <w:vAlign w:val="center"/>
            <w:hideMark/>
          </w:tcPr>
          <w:p w14:paraId="5864099B" w14:textId="6A5B18CD"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-1,490</w:t>
            </w:r>
          </w:p>
        </w:tc>
      </w:tr>
      <w:tr w:rsidR="00CA6080" w:rsidRPr="00E859AF" w14:paraId="55636674"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B053096" w14:textId="1F37E9CF"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570</w:t>
            </w:r>
          </w:p>
        </w:tc>
        <w:tc>
          <w:tcPr>
            <w:tcW w:w="3544" w:type="dxa"/>
            <w:tcBorders>
              <w:top w:val="nil"/>
              <w:left w:val="nil"/>
              <w:bottom w:val="single" w:sz="8" w:space="0" w:color="auto"/>
              <w:right w:val="single" w:sz="8" w:space="0" w:color="auto"/>
            </w:tcBorders>
            <w:shd w:val="clear" w:color="auto" w:fill="auto"/>
            <w:vAlign w:val="center"/>
            <w:hideMark/>
          </w:tcPr>
          <w:p w14:paraId="2125D50B" w14:textId="1C067C33"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UNIVERSIDAD AUTÓNOMA COMUNAL DE OAXACA</w:t>
            </w:r>
          </w:p>
        </w:tc>
        <w:tc>
          <w:tcPr>
            <w:tcW w:w="1701" w:type="dxa"/>
            <w:tcBorders>
              <w:top w:val="nil"/>
              <w:left w:val="nil"/>
              <w:bottom w:val="single" w:sz="8" w:space="0" w:color="auto"/>
              <w:right w:val="single" w:sz="8" w:space="0" w:color="auto"/>
            </w:tcBorders>
            <w:shd w:val="clear" w:color="auto" w:fill="auto"/>
            <w:vAlign w:val="center"/>
            <w:hideMark/>
          </w:tcPr>
          <w:p w14:paraId="436AC5B6" w14:textId="45272BE8"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3,751,895</w:t>
            </w:r>
          </w:p>
        </w:tc>
        <w:tc>
          <w:tcPr>
            <w:tcW w:w="1701" w:type="dxa"/>
            <w:tcBorders>
              <w:top w:val="nil"/>
              <w:left w:val="nil"/>
              <w:bottom w:val="single" w:sz="8" w:space="0" w:color="auto"/>
              <w:right w:val="single" w:sz="8" w:space="0" w:color="auto"/>
            </w:tcBorders>
            <w:shd w:val="clear" w:color="auto" w:fill="auto"/>
            <w:vAlign w:val="center"/>
            <w:hideMark/>
          </w:tcPr>
          <w:p w14:paraId="722FB23A" w14:textId="57A247D2"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3,750,558</w:t>
            </w:r>
          </w:p>
        </w:tc>
        <w:tc>
          <w:tcPr>
            <w:tcW w:w="1559" w:type="dxa"/>
            <w:tcBorders>
              <w:top w:val="nil"/>
              <w:left w:val="nil"/>
              <w:bottom w:val="single" w:sz="8" w:space="0" w:color="auto"/>
              <w:right w:val="single" w:sz="8" w:space="0" w:color="auto"/>
            </w:tcBorders>
            <w:shd w:val="clear" w:color="auto" w:fill="auto"/>
            <w:vAlign w:val="center"/>
            <w:hideMark/>
          </w:tcPr>
          <w:p w14:paraId="2AD5567B" w14:textId="274888D7"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-1,337</w:t>
            </w:r>
          </w:p>
        </w:tc>
      </w:tr>
      <w:tr w:rsidR="00CA6080" w:rsidRPr="00E859AF" w14:paraId="44C4C960" w14:textId="77777777" w:rsidTr="006B53F3">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15E4BB4" w14:textId="03075D6A"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571</w:t>
            </w:r>
          </w:p>
        </w:tc>
        <w:tc>
          <w:tcPr>
            <w:tcW w:w="3544" w:type="dxa"/>
            <w:tcBorders>
              <w:top w:val="nil"/>
              <w:left w:val="nil"/>
              <w:bottom w:val="single" w:sz="8" w:space="0" w:color="auto"/>
              <w:right w:val="single" w:sz="8" w:space="0" w:color="auto"/>
            </w:tcBorders>
            <w:shd w:val="clear" w:color="auto" w:fill="auto"/>
            <w:vAlign w:val="center"/>
            <w:hideMark/>
          </w:tcPr>
          <w:p w14:paraId="798B10E1" w14:textId="67518DA4"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COMISIÓN ESTATAL DE BÚSQUEDA DE PERSONAS DESAPARECIDAS PARA 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6713756E" w14:textId="0ECA541D"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15,543,089</w:t>
            </w:r>
          </w:p>
        </w:tc>
        <w:tc>
          <w:tcPr>
            <w:tcW w:w="1701" w:type="dxa"/>
            <w:tcBorders>
              <w:top w:val="nil"/>
              <w:left w:val="nil"/>
              <w:bottom w:val="single" w:sz="8" w:space="0" w:color="auto"/>
              <w:right w:val="single" w:sz="8" w:space="0" w:color="auto"/>
            </w:tcBorders>
            <w:shd w:val="clear" w:color="auto" w:fill="auto"/>
            <w:vAlign w:val="center"/>
            <w:hideMark/>
          </w:tcPr>
          <w:p w14:paraId="708CFA2A" w14:textId="20FD93BB"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15,543,089</w:t>
            </w:r>
          </w:p>
        </w:tc>
        <w:tc>
          <w:tcPr>
            <w:tcW w:w="1559" w:type="dxa"/>
            <w:tcBorders>
              <w:top w:val="nil"/>
              <w:left w:val="nil"/>
              <w:bottom w:val="single" w:sz="8" w:space="0" w:color="auto"/>
              <w:right w:val="single" w:sz="8" w:space="0" w:color="auto"/>
            </w:tcBorders>
            <w:shd w:val="clear" w:color="auto" w:fill="auto"/>
            <w:vAlign w:val="center"/>
            <w:hideMark/>
          </w:tcPr>
          <w:p w14:paraId="6B660B1A" w14:textId="4EBAFC49"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35F74724"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C6E3520" w14:textId="59A58F77"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lastRenderedPageBreak/>
              <w:t>572</w:t>
            </w:r>
          </w:p>
        </w:tc>
        <w:tc>
          <w:tcPr>
            <w:tcW w:w="3544" w:type="dxa"/>
            <w:tcBorders>
              <w:top w:val="nil"/>
              <w:left w:val="nil"/>
              <w:bottom w:val="single" w:sz="8" w:space="0" w:color="auto"/>
              <w:right w:val="single" w:sz="8" w:space="0" w:color="auto"/>
            </w:tcBorders>
            <w:shd w:val="clear" w:color="auto" w:fill="auto"/>
            <w:vAlign w:val="center"/>
            <w:hideMark/>
          </w:tcPr>
          <w:p w14:paraId="3AF8F0E1" w14:textId="550C7830"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DIRECCIÓN GENERAL DEL HANGAR OFICIAL DEL GOBIERNO DEL ESTADO</w:t>
            </w:r>
          </w:p>
        </w:tc>
        <w:tc>
          <w:tcPr>
            <w:tcW w:w="1701" w:type="dxa"/>
            <w:tcBorders>
              <w:top w:val="nil"/>
              <w:left w:val="nil"/>
              <w:bottom w:val="single" w:sz="8" w:space="0" w:color="auto"/>
              <w:right w:val="single" w:sz="8" w:space="0" w:color="auto"/>
            </w:tcBorders>
            <w:shd w:val="clear" w:color="auto" w:fill="auto"/>
            <w:vAlign w:val="center"/>
            <w:hideMark/>
          </w:tcPr>
          <w:p w14:paraId="7B3DC2EC" w14:textId="70B99190"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98,688,373</w:t>
            </w:r>
          </w:p>
        </w:tc>
        <w:tc>
          <w:tcPr>
            <w:tcW w:w="1701" w:type="dxa"/>
            <w:tcBorders>
              <w:top w:val="nil"/>
              <w:left w:val="nil"/>
              <w:bottom w:val="single" w:sz="8" w:space="0" w:color="auto"/>
              <w:right w:val="single" w:sz="8" w:space="0" w:color="auto"/>
            </w:tcBorders>
            <w:shd w:val="clear" w:color="auto" w:fill="auto"/>
            <w:vAlign w:val="center"/>
            <w:hideMark/>
          </w:tcPr>
          <w:p w14:paraId="0B6BDA1D" w14:textId="475D0E3D"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98,654,840</w:t>
            </w:r>
          </w:p>
        </w:tc>
        <w:tc>
          <w:tcPr>
            <w:tcW w:w="1559" w:type="dxa"/>
            <w:tcBorders>
              <w:top w:val="nil"/>
              <w:left w:val="nil"/>
              <w:bottom w:val="single" w:sz="8" w:space="0" w:color="auto"/>
              <w:right w:val="single" w:sz="8" w:space="0" w:color="auto"/>
            </w:tcBorders>
            <w:shd w:val="clear" w:color="auto" w:fill="auto"/>
            <w:vAlign w:val="center"/>
            <w:hideMark/>
          </w:tcPr>
          <w:p w14:paraId="439B401C" w14:textId="6189082A"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-33,534</w:t>
            </w:r>
          </w:p>
        </w:tc>
      </w:tr>
      <w:tr w:rsidR="00CA6080" w:rsidRPr="00E859AF" w14:paraId="00061A81"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A71092A" w14:textId="0204D29C"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573</w:t>
            </w:r>
          </w:p>
        </w:tc>
        <w:tc>
          <w:tcPr>
            <w:tcW w:w="3544" w:type="dxa"/>
            <w:tcBorders>
              <w:top w:val="nil"/>
              <w:left w:val="nil"/>
              <w:bottom w:val="single" w:sz="8" w:space="0" w:color="auto"/>
              <w:right w:val="single" w:sz="8" w:space="0" w:color="auto"/>
            </w:tcBorders>
            <w:shd w:val="clear" w:color="auto" w:fill="auto"/>
            <w:vAlign w:val="center"/>
            <w:hideMark/>
          </w:tcPr>
          <w:p w14:paraId="0D798F57" w14:textId="23971963"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CENTRO DE CONCILIACIÓN LABORAL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0B7CB27C" w14:textId="3526B1B3"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2,228,090</w:t>
            </w:r>
          </w:p>
        </w:tc>
        <w:tc>
          <w:tcPr>
            <w:tcW w:w="1701" w:type="dxa"/>
            <w:tcBorders>
              <w:top w:val="nil"/>
              <w:left w:val="nil"/>
              <w:bottom w:val="single" w:sz="8" w:space="0" w:color="auto"/>
              <w:right w:val="single" w:sz="8" w:space="0" w:color="auto"/>
            </w:tcBorders>
            <w:shd w:val="clear" w:color="auto" w:fill="auto"/>
            <w:vAlign w:val="center"/>
            <w:hideMark/>
          </w:tcPr>
          <w:p w14:paraId="49D7E329" w14:textId="36DD0EF1"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2,228,090</w:t>
            </w:r>
          </w:p>
        </w:tc>
        <w:tc>
          <w:tcPr>
            <w:tcW w:w="1559" w:type="dxa"/>
            <w:tcBorders>
              <w:top w:val="nil"/>
              <w:left w:val="nil"/>
              <w:bottom w:val="single" w:sz="8" w:space="0" w:color="auto"/>
              <w:right w:val="single" w:sz="8" w:space="0" w:color="auto"/>
            </w:tcBorders>
            <w:shd w:val="clear" w:color="auto" w:fill="auto"/>
            <w:vAlign w:val="center"/>
            <w:hideMark/>
          </w:tcPr>
          <w:p w14:paraId="7A328ADC" w14:textId="796FC741"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792FD49F"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5336EA7" w14:textId="2B55FE39"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574</w:t>
            </w:r>
          </w:p>
        </w:tc>
        <w:tc>
          <w:tcPr>
            <w:tcW w:w="3544" w:type="dxa"/>
            <w:tcBorders>
              <w:top w:val="nil"/>
              <w:left w:val="nil"/>
              <w:bottom w:val="single" w:sz="8" w:space="0" w:color="auto"/>
              <w:right w:val="single" w:sz="8" w:space="0" w:color="auto"/>
            </w:tcBorders>
            <w:shd w:val="clear" w:color="auto" w:fill="auto"/>
            <w:vAlign w:val="center"/>
            <w:hideMark/>
          </w:tcPr>
          <w:p w14:paraId="2128C175" w14:textId="23C6AEAA"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PROCURADURÍA DE PROTECCIÓN AL AMBIENTE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33925CE5" w14:textId="3AA3A022"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1,677,238</w:t>
            </w:r>
          </w:p>
        </w:tc>
        <w:tc>
          <w:tcPr>
            <w:tcW w:w="1701" w:type="dxa"/>
            <w:tcBorders>
              <w:top w:val="nil"/>
              <w:left w:val="nil"/>
              <w:bottom w:val="single" w:sz="8" w:space="0" w:color="auto"/>
              <w:right w:val="single" w:sz="8" w:space="0" w:color="auto"/>
            </w:tcBorders>
            <w:shd w:val="clear" w:color="auto" w:fill="auto"/>
            <w:vAlign w:val="center"/>
            <w:hideMark/>
          </w:tcPr>
          <w:p w14:paraId="11029815" w14:textId="508865B5"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1,677,238</w:t>
            </w:r>
          </w:p>
        </w:tc>
        <w:tc>
          <w:tcPr>
            <w:tcW w:w="1559" w:type="dxa"/>
            <w:tcBorders>
              <w:top w:val="nil"/>
              <w:left w:val="nil"/>
              <w:bottom w:val="single" w:sz="8" w:space="0" w:color="auto"/>
              <w:right w:val="single" w:sz="8" w:space="0" w:color="auto"/>
            </w:tcBorders>
            <w:shd w:val="clear" w:color="auto" w:fill="auto"/>
            <w:vAlign w:val="center"/>
            <w:hideMark/>
          </w:tcPr>
          <w:p w14:paraId="2B911DC5" w14:textId="310DB1F8"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2C38C05D"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AFCD199" w14:textId="14CAEE90"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575</w:t>
            </w:r>
          </w:p>
        </w:tc>
        <w:tc>
          <w:tcPr>
            <w:tcW w:w="3544" w:type="dxa"/>
            <w:tcBorders>
              <w:top w:val="nil"/>
              <w:left w:val="nil"/>
              <w:bottom w:val="single" w:sz="8" w:space="0" w:color="auto"/>
              <w:right w:val="single" w:sz="8" w:space="0" w:color="auto"/>
            </w:tcBorders>
            <w:shd w:val="clear" w:color="auto" w:fill="auto"/>
            <w:vAlign w:val="center"/>
            <w:hideMark/>
          </w:tcPr>
          <w:p w14:paraId="10019B8C" w14:textId="45EE6C23"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COMISIÓN EJECUTIVA ESTATAL DE ATENCIÓN INTEGRAL A VÍCTIMAS</w:t>
            </w:r>
          </w:p>
        </w:tc>
        <w:tc>
          <w:tcPr>
            <w:tcW w:w="1701" w:type="dxa"/>
            <w:tcBorders>
              <w:top w:val="nil"/>
              <w:left w:val="nil"/>
              <w:bottom w:val="single" w:sz="8" w:space="0" w:color="auto"/>
              <w:right w:val="single" w:sz="8" w:space="0" w:color="auto"/>
            </w:tcBorders>
            <w:shd w:val="clear" w:color="auto" w:fill="auto"/>
            <w:vAlign w:val="center"/>
            <w:hideMark/>
          </w:tcPr>
          <w:p w14:paraId="28B90FD8" w14:textId="24C2FFC6"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3,184,120</w:t>
            </w:r>
          </w:p>
        </w:tc>
        <w:tc>
          <w:tcPr>
            <w:tcW w:w="1701" w:type="dxa"/>
            <w:tcBorders>
              <w:top w:val="nil"/>
              <w:left w:val="nil"/>
              <w:bottom w:val="single" w:sz="8" w:space="0" w:color="auto"/>
              <w:right w:val="single" w:sz="8" w:space="0" w:color="auto"/>
            </w:tcBorders>
            <w:shd w:val="clear" w:color="auto" w:fill="auto"/>
            <w:vAlign w:val="center"/>
            <w:hideMark/>
          </w:tcPr>
          <w:p w14:paraId="5EA19DF8" w14:textId="5AD2409A"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2,696,615</w:t>
            </w:r>
          </w:p>
        </w:tc>
        <w:tc>
          <w:tcPr>
            <w:tcW w:w="1559" w:type="dxa"/>
            <w:tcBorders>
              <w:top w:val="nil"/>
              <w:left w:val="nil"/>
              <w:bottom w:val="single" w:sz="8" w:space="0" w:color="auto"/>
              <w:right w:val="single" w:sz="8" w:space="0" w:color="auto"/>
            </w:tcBorders>
            <w:shd w:val="clear" w:color="auto" w:fill="auto"/>
            <w:vAlign w:val="center"/>
            <w:hideMark/>
          </w:tcPr>
          <w:p w14:paraId="79361E63" w14:textId="18C51B23"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-487,505</w:t>
            </w:r>
          </w:p>
        </w:tc>
      </w:tr>
      <w:tr w:rsidR="00CA6080" w:rsidRPr="00E859AF" w14:paraId="5187A400"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8388821" w14:textId="3907F186"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576</w:t>
            </w:r>
          </w:p>
        </w:tc>
        <w:tc>
          <w:tcPr>
            <w:tcW w:w="3544" w:type="dxa"/>
            <w:tcBorders>
              <w:top w:val="nil"/>
              <w:left w:val="nil"/>
              <w:bottom w:val="single" w:sz="8" w:space="0" w:color="auto"/>
              <w:right w:val="single" w:sz="8" w:space="0" w:color="auto"/>
            </w:tcBorders>
            <w:shd w:val="clear" w:color="auto" w:fill="auto"/>
            <w:vAlign w:val="center"/>
            <w:hideMark/>
          </w:tcPr>
          <w:p w14:paraId="4BCB1362" w14:textId="4A330A68"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ARCHIVO GENERAL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48B375AF" w14:textId="12092DAE"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1,206,678</w:t>
            </w:r>
          </w:p>
        </w:tc>
        <w:tc>
          <w:tcPr>
            <w:tcW w:w="1701" w:type="dxa"/>
            <w:tcBorders>
              <w:top w:val="nil"/>
              <w:left w:val="nil"/>
              <w:bottom w:val="single" w:sz="8" w:space="0" w:color="auto"/>
              <w:right w:val="single" w:sz="8" w:space="0" w:color="auto"/>
            </w:tcBorders>
            <w:shd w:val="clear" w:color="auto" w:fill="auto"/>
            <w:vAlign w:val="center"/>
            <w:hideMark/>
          </w:tcPr>
          <w:p w14:paraId="27B6A7AC" w14:textId="3B64DC3D"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1,244,906</w:t>
            </w:r>
          </w:p>
        </w:tc>
        <w:tc>
          <w:tcPr>
            <w:tcW w:w="1559" w:type="dxa"/>
            <w:tcBorders>
              <w:top w:val="nil"/>
              <w:left w:val="nil"/>
              <w:bottom w:val="single" w:sz="8" w:space="0" w:color="auto"/>
              <w:right w:val="single" w:sz="8" w:space="0" w:color="auto"/>
            </w:tcBorders>
            <w:shd w:val="clear" w:color="auto" w:fill="auto"/>
            <w:vAlign w:val="center"/>
            <w:hideMark/>
          </w:tcPr>
          <w:p w14:paraId="254B36F2" w14:textId="743ADE12"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38,228</w:t>
            </w:r>
          </w:p>
        </w:tc>
      </w:tr>
      <w:tr w:rsidR="00CA6080" w:rsidRPr="00E859AF" w14:paraId="59343D21" w14:textId="77777777" w:rsidTr="006B53F3">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BAB75C8" w14:textId="1EAF1F77"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578</w:t>
            </w:r>
          </w:p>
        </w:tc>
        <w:tc>
          <w:tcPr>
            <w:tcW w:w="3544" w:type="dxa"/>
            <w:tcBorders>
              <w:top w:val="nil"/>
              <w:left w:val="nil"/>
              <w:bottom w:val="single" w:sz="8" w:space="0" w:color="auto"/>
              <w:right w:val="single" w:sz="8" w:space="0" w:color="auto"/>
            </w:tcBorders>
            <w:shd w:val="clear" w:color="auto" w:fill="auto"/>
            <w:vAlign w:val="center"/>
            <w:hideMark/>
          </w:tcPr>
          <w:p w14:paraId="5BD25511" w14:textId="018F3C62"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UNIDAD DE INTELIGENCIA PATRIMONIAL Y ECONÓMICA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2F165E18" w14:textId="43682D91"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181676.42</w:t>
            </w:r>
          </w:p>
        </w:tc>
        <w:tc>
          <w:tcPr>
            <w:tcW w:w="1701" w:type="dxa"/>
            <w:tcBorders>
              <w:top w:val="nil"/>
              <w:left w:val="nil"/>
              <w:bottom w:val="single" w:sz="8" w:space="0" w:color="auto"/>
              <w:right w:val="single" w:sz="8" w:space="0" w:color="auto"/>
            </w:tcBorders>
            <w:shd w:val="clear" w:color="auto" w:fill="auto"/>
            <w:vAlign w:val="center"/>
            <w:hideMark/>
          </w:tcPr>
          <w:p w14:paraId="08248E4C" w14:textId="7FFD8605"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165311.53</w:t>
            </w:r>
          </w:p>
        </w:tc>
        <w:tc>
          <w:tcPr>
            <w:tcW w:w="1559" w:type="dxa"/>
            <w:tcBorders>
              <w:top w:val="nil"/>
              <w:left w:val="nil"/>
              <w:bottom w:val="single" w:sz="8" w:space="0" w:color="auto"/>
              <w:right w:val="single" w:sz="8" w:space="0" w:color="auto"/>
            </w:tcBorders>
            <w:shd w:val="clear" w:color="auto" w:fill="auto"/>
            <w:vAlign w:val="center"/>
            <w:hideMark/>
          </w:tcPr>
          <w:p w14:paraId="7D73A956" w14:textId="1E1E00D7"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-16364.89</w:t>
            </w:r>
          </w:p>
        </w:tc>
      </w:tr>
      <w:tr w:rsidR="00CA6080" w:rsidRPr="00E859AF" w14:paraId="3EC7640E" w14:textId="77777777" w:rsidTr="006B53F3">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41A029D" w14:textId="743FFE21"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579</w:t>
            </w:r>
          </w:p>
        </w:tc>
        <w:tc>
          <w:tcPr>
            <w:tcW w:w="3544" w:type="dxa"/>
            <w:tcBorders>
              <w:top w:val="nil"/>
              <w:left w:val="nil"/>
              <w:bottom w:val="single" w:sz="8" w:space="0" w:color="auto"/>
              <w:right w:val="single" w:sz="8" w:space="0" w:color="auto"/>
            </w:tcBorders>
            <w:shd w:val="clear" w:color="auto" w:fill="auto"/>
            <w:vAlign w:val="center"/>
            <w:hideMark/>
          </w:tcPr>
          <w:p w14:paraId="34E322E4" w14:textId="2088F7ED"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UNIVERSIDAD POLITÉCNICA Y TECNOLÓGICA DEL ISTMO DE TEHUANTEPEC</w:t>
            </w:r>
          </w:p>
        </w:tc>
        <w:tc>
          <w:tcPr>
            <w:tcW w:w="1701" w:type="dxa"/>
            <w:tcBorders>
              <w:top w:val="nil"/>
              <w:left w:val="nil"/>
              <w:bottom w:val="single" w:sz="8" w:space="0" w:color="auto"/>
              <w:right w:val="single" w:sz="8" w:space="0" w:color="auto"/>
            </w:tcBorders>
            <w:shd w:val="clear" w:color="auto" w:fill="auto"/>
            <w:vAlign w:val="center"/>
            <w:hideMark/>
          </w:tcPr>
          <w:p w14:paraId="08BE6736" w14:textId="1A33BADB"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2998541.54</w:t>
            </w:r>
          </w:p>
        </w:tc>
        <w:tc>
          <w:tcPr>
            <w:tcW w:w="1701" w:type="dxa"/>
            <w:tcBorders>
              <w:top w:val="nil"/>
              <w:left w:val="nil"/>
              <w:bottom w:val="single" w:sz="8" w:space="0" w:color="auto"/>
              <w:right w:val="single" w:sz="8" w:space="0" w:color="auto"/>
            </w:tcBorders>
            <w:shd w:val="clear" w:color="auto" w:fill="auto"/>
            <w:vAlign w:val="center"/>
            <w:hideMark/>
          </w:tcPr>
          <w:p w14:paraId="0B8A490E" w14:textId="489A3F88"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-62348.23</w:t>
            </w:r>
          </w:p>
        </w:tc>
        <w:tc>
          <w:tcPr>
            <w:tcW w:w="1559" w:type="dxa"/>
            <w:tcBorders>
              <w:top w:val="nil"/>
              <w:left w:val="nil"/>
              <w:bottom w:val="single" w:sz="8" w:space="0" w:color="auto"/>
              <w:right w:val="single" w:sz="8" w:space="0" w:color="auto"/>
            </w:tcBorders>
            <w:shd w:val="clear" w:color="auto" w:fill="auto"/>
            <w:vAlign w:val="center"/>
            <w:hideMark/>
          </w:tcPr>
          <w:p w14:paraId="532147AC" w14:textId="4804C2FF"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-3060889.77</w:t>
            </w:r>
          </w:p>
        </w:tc>
      </w:tr>
      <w:tr w:rsidR="00CA6080" w:rsidRPr="00E859AF" w14:paraId="563600BF"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2564D5F" w14:textId="6021838C"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580</w:t>
            </w:r>
          </w:p>
        </w:tc>
        <w:tc>
          <w:tcPr>
            <w:tcW w:w="3544" w:type="dxa"/>
            <w:tcBorders>
              <w:top w:val="nil"/>
              <w:left w:val="nil"/>
              <w:bottom w:val="single" w:sz="8" w:space="0" w:color="auto"/>
              <w:right w:val="single" w:sz="8" w:space="0" w:color="auto"/>
            </w:tcBorders>
            <w:shd w:val="clear" w:color="auto" w:fill="auto"/>
            <w:vAlign w:val="center"/>
            <w:hideMark/>
          </w:tcPr>
          <w:p w14:paraId="43E2F8A6" w14:textId="74E4562C" w:rsidR="00CA6080" w:rsidRPr="00E859AF" w:rsidRDefault="00CA6080" w:rsidP="006B53F3">
            <w:pPr>
              <w:rPr>
                <w:rFonts w:ascii="Montserrat" w:eastAsia="Times New Roman" w:hAnsi="Montserrat" w:cs="Calibri"/>
                <w:color w:val="000000"/>
                <w:sz w:val="22"/>
                <w:szCs w:val="22"/>
                <w:lang w:val="es-MX"/>
              </w:rPr>
            </w:pPr>
            <w:proofErr w:type="spellStart"/>
            <w:r w:rsidRPr="00E859AF">
              <w:rPr>
                <w:rFonts w:ascii="Montserrat" w:hAnsi="Montserrat"/>
                <w:sz w:val="22"/>
                <w:szCs w:val="22"/>
              </w:rPr>
              <w:t>AFROUNIVERSIDAD</w:t>
            </w:r>
            <w:proofErr w:type="spellEnd"/>
            <w:r w:rsidRPr="00E859AF">
              <w:rPr>
                <w:rFonts w:ascii="Montserrat" w:hAnsi="Montserrat"/>
                <w:sz w:val="22"/>
                <w:szCs w:val="22"/>
              </w:rPr>
              <w:t xml:space="preserve"> POLITÉCNICA INTERCULTURAL</w:t>
            </w:r>
          </w:p>
        </w:tc>
        <w:tc>
          <w:tcPr>
            <w:tcW w:w="1701" w:type="dxa"/>
            <w:tcBorders>
              <w:top w:val="nil"/>
              <w:left w:val="nil"/>
              <w:bottom w:val="single" w:sz="8" w:space="0" w:color="auto"/>
              <w:right w:val="single" w:sz="8" w:space="0" w:color="auto"/>
            </w:tcBorders>
            <w:shd w:val="clear" w:color="auto" w:fill="auto"/>
            <w:vAlign w:val="center"/>
            <w:hideMark/>
          </w:tcPr>
          <w:p w14:paraId="7569C88D" w14:textId="5F8A8115"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13761.05</w:t>
            </w:r>
          </w:p>
        </w:tc>
        <w:tc>
          <w:tcPr>
            <w:tcW w:w="1701" w:type="dxa"/>
            <w:tcBorders>
              <w:top w:val="nil"/>
              <w:left w:val="nil"/>
              <w:bottom w:val="single" w:sz="8" w:space="0" w:color="auto"/>
              <w:right w:val="single" w:sz="8" w:space="0" w:color="auto"/>
            </w:tcBorders>
            <w:shd w:val="clear" w:color="auto" w:fill="auto"/>
            <w:vAlign w:val="center"/>
            <w:hideMark/>
          </w:tcPr>
          <w:p w14:paraId="763FCEAB" w14:textId="568219B6"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c>
          <w:tcPr>
            <w:tcW w:w="1559" w:type="dxa"/>
            <w:tcBorders>
              <w:top w:val="nil"/>
              <w:left w:val="nil"/>
              <w:bottom w:val="single" w:sz="8" w:space="0" w:color="auto"/>
              <w:right w:val="single" w:sz="8" w:space="0" w:color="auto"/>
            </w:tcBorders>
            <w:shd w:val="clear" w:color="auto" w:fill="auto"/>
            <w:vAlign w:val="center"/>
            <w:hideMark/>
          </w:tcPr>
          <w:p w14:paraId="08E8634C" w14:textId="0BB1BB6C"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-13761.05</w:t>
            </w:r>
          </w:p>
        </w:tc>
      </w:tr>
      <w:tr w:rsidR="00CA6080" w:rsidRPr="00E859AF" w14:paraId="4AD8FD1A" w14:textId="77777777" w:rsidTr="006B53F3">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0C78AAE" w14:textId="2A25F546"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582</w:t>
            </w:r>
          </w:p>
        </w:tc>
        <w:tc>
          <w:tcPr>
            <w:tcW w:w="3544" w:type="dxa"/>
            <w:tcBorders>
              <w:top w:val="nil"/>
              <w:left w:val="nil"/>
              <w:bottom w:val="single" w:sz="8" w:space="0" w:color="auto"/>
              <w:right w:val="single" w:sz="8" w:space="0" w:color="auto"/>
            </w:tcBorders>
            <w:shd w:val="clear" w:color="auto" w:fill="auto"/>
            <w:vAlign w:val="center"/>
            <w:hideMark/>
          </w:tcPr>
          <w:p w14:paraId="3220399C" w14:textId="4CFA1C7D"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COORDINACIÓN PARA LA COMERCIALIZACIÓN DE PRODUCTOS OAXAQUEÑOS</w:t>
            </w:r>
          </w:p>
        </w:tc>
        <w:tc>
          <w:tcPr>
            <w:tcW w:w="1701" w:type="dxa"/>
            <w:tcBorders>
              <w:top w:val="nil"/>
              <w:left w:val="nil"/>
              <w:bottom w:val="single" w:sz="8" w:space="0" w:color="auto"/>
              <w:right w:val="single" w:sz="8" w:space="0" w:color="auto"/>
            </w:tcBorders>
            <w:shd w:val="clear" w:color="auto" w:fill="auto"/>
            <w:vAlign w:val="center"/>
            <w:hideMark/>
          </w:tcPr>
          <w:p w14:paraId="194EEE04" w14:textId="1E861F46"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2,114,242</w:t>
            </w:r>
          </w:p>
        </w:tc>
        <w:tc>
          <w:tcPr>
            <w:tcW w:w="1701" w:type="dxa"/>
            <w:tcBorders>
              <w:top w:val="nil"/>
              <w:left w:val="nil"/>
              <w:bottom w:val="single" w:sz="8" w:space="0" w:color="auto"/>
              <w:right w:val="single" w:sz="8" w:space="0" w:color="auto"/>
            </w:tcBorders>
            <w:shd w:val="clear" w:color="auto" w:fill="auto"/>
            <w:vAlign w:val="center"/>
            <w:hideMark/>
          </w:tcPr>
          <w:p w14:paraId="040DC8DA" w14:textId="012C9A1D"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2,114,242</w:t>
            </w:r>
          </w:p>
        </w:tc>
        <w:tc>
          <w:tcPr>
            <w:tcW w:w="1559" w:type="dxa"/>
            <w:tcBorders>
              <w:top w:val="nil"/>
              <w:left w:val="nil"/>
              <w:bottom w:val="single" w:sz="8" w:space="0" w:color="auto"/>
              <w:right w:val="single" w:sz="8" w:space="0" w:color="auto"/>
            </w:tcBorders>
            <w:shd w:val="clear" w:color="auto" w:fill="auto"/>
            <w:vAlign w:val="center"/>
            <w:hideMark/>
          </w:tcPr>
          <w:p w14:paraId="1FDF0BEB" w14:textId="3595A398"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51CE0449"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172BA45" w14:textId="693A9EE9"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601</w:t>
            </w:r>
          </w:p>
        </w:tc>
        <w:tc>
          <w:tcPr>
            <w:tcW w:w="3544" w:type="dxa"/>
            <w:tcBorders>
              <w:top w:val="nil"/>
              <w:left w:val="nil"/>
              <w:bottom w:val="single" w:sz="8" w:space="0" w:color="auto"/>
              <w:right w:val="single" w:sz="8" w:space="0" w:color="auto"/>
            </w:tcBorders>
            <w:shd w:val="clear" w:color="auto" w:fill="auto"/>
            <w:vAlign w:val="center"/>
            <w:hideMark/>
          </w:tcPr>
          <w:p w14:paraId="2960AB28" w14:textId="5F2E6FD0"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FIDEICOMISO PARA EL DESARROLLO LOGÍSTICO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7C92D8F2" w14:textId="5B67C93D"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113789435.8</w:t>
            </w:r>
          </w:p>
        </w:tc>
        <w:tc>
          <w:tcPr>
            <w:tcW w:w="1701" w:type="dxa"/>
            <w:tcBorders>
              <w:top w:val="nil"/>
              <w:left w:val="nil"/>
              <w:bottom w:val="single" w:sz="8" w:space="0" w:color="auto"/>
              <w:right w:val="single" w:sz="8" w:space="0" w:color="auto"/>
            </w:tcBorders>
            <w:shd w:val="clear" w:color="auto" w:fill="auto"/>
            <w:vAlign w:val="center"/>
            <w:hideMark/>
          </w:tcPr>
          <w:p w14:paraId="2899C931" w14:textId="120458A3"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113789435.8</w:t>
            </w:r>
          </w:p>
        </w:tc>
        <w:tc>
          <w:tcPr>
            <w:tcW w:w="1559" w:type="dxa"/>
            <w:tcBorders>
              <w:top w:val="nil"/>
              <w:left w:val="nil"/>
              <w:bottom w:val="single" w:sz="8" w:space="0" w:color="auto"/>
              <w:right w:val="single" w:sz="8" w:space="0" w:color="auto"/>
            </w:tcBorders>
            <w:shd w:val="clear" w:color="auto" w:fill="auto"/>
            <w:vAlign w:val="center"/>
            <w:hideMark/>
          </w:tcPr>
          <w:p w14:paraId="2EC8360B" w14:textId="009C23BF"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36BBDD7A"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7873883" w14:textId="7A3B2467"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602</w:t>
            </w:r>
          </w:p>
        </w:tc>
        <w:tc>
          <w:tcPr>
            <w:tcW w:w="3544" w:type="dxa"/>
            <w:tcBorders>
              <w:top w:val="nil"/>
              <w:left w:val="nil"/>
              <w:bottom w:val="single" w:sz="8" w:space="0" w:color="auto"/>
              <w:right w:val="single" w:sz="8" w:space="0" w:color="auto"/>
            </w:tcBorders>
            <w:shd w:val="clear" w:color="auto" w:fill="auto"/>
            <w:vAlign w:val="center"/>
            <w:hideMark/>
          </w:tcPr>
          <w:p w14:paraId="498FEB2E" w14:textId="284E540E"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FIDEICOMISO DE FOMENTO PARA 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313E2BA3" w14:textId="4B732643"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36018.57</w:t>
            </w:r>
          </w:p>
        </w:tc>
        <w:tc>
          <w:tcPr>
            <w:tcW w:w="1701" w:type="dxa"/>
            <w:tcBorders>
              <w:top w:val="nil"/>
              <w:left w:val="nil"/>
              <w:bottom w:val="single" w:sz="8" w:space="0" w:color="auto"/>
              <w:right w:val="single" w:sz="8" w:space="0" w:color="auto"/>
            </w:tcBorders>
            <w:shd w:val="clear" w:color="auto" w:fill="auto"/>
            <w:vAlign w:val="center"/>
            <w:hideMark/>
          </w:tcPr>
          <w:p w14:paraId="391CE395" w14:textId="74B5E93B"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36018.57</w:t>
            </w:r>
          </w:p>
        </w:tc>
        <w:tc>
          <w:tcPr>
            <w:tcW w:w="1559" w:type="dxa"/>
            <w:tcBorders>
              <w:top w:val="nil"/>
              <w:left w:val="nil"/>
              <w:bottom w:val="single" w:sz="8" w:space="0" w:color="auto"/>
              <w:right w:val="single" w:sz="8" w:space="0" w:color="auto"/>
            </w:tcBorders>
            <w:shd w:val="clear" w:color="auto" w:fill="auto"/>
            <w:vAlign w:val="center"/>
            <w:hideMark/>
          </w:tcPr>
          <w:p w14:paraId="24539D07" w14:textId="7575BACA"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0</w:t>
            </w:r>
          </w:p>
        </w:tc>
      </w:tr>
      <w:tr w:rsidR="00CA6080" w:rsidRPr="00E859AF" w14:paraId="2EB425C1" w14:textId="77777777" w:rsidTr="006B53F3">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5979DD3" w14:textId="28704B9A" w:rsidR="00CA6080" w:rsidRPr="00E859AF" w:rsidRDefault="00CA6080" w:rsidP="006B53F3">
            <w:pPr>
              <w:jc w:val="center"/>
              <w:rPr>
                <w:rFonts w:ascii="Montserrat" w:eastAsia="Times New Roman" w:hAnsi="Montserrat" w:cs="Calibri"/>
                <w:color w:val="000000"/>
                <w:sz w:val="22"/>
                <w:szCs w:val="22"/>
                <w:lang w:val="es-MX"/>
              </w:rPr>
            </w:pPr>
            <w:r w:rsidRPr="00E859AF">
              <w:rPr>
                <w:rFonts w:ascii="Montserrat" w:hAnsi="Montserrat"/>
                <w:sz w:val="22"/>
                <w:szCs w:val="22"/>
              </w:rPr>
              <w:t>801</w:t>
            </w:r>
          </w:p>
        </w:tc>
        <w:tc>
          <w:tcPr>
            <w:tcW w:w="3544" w:type="dxa"/>
            <w:tcBorders>
              <w:top w:val="nil"/>
              <w:left w:val="nil"/>
              <w:bottom w:val="single" w:sz="8" w:space="0" w:color="auto"/>
              <w:right w:val="single" w:sz="8" w:space="0" w:color="auto"/>
            </w:tcBorders>
            <w:shd w:val="clear" w:color="auto" w:fill="auto"/>
            <w:vAlign w:val="center"/>
            <w:hideMark/>
          </w:tcPr>
          <w:p w14:paraId="448E7760" w14:textId="67941C56" w:rsidR="00CA6080" w:rsidRPr="00E859AF" w:rsidRDefault="00CA6080" w:rsidP="006B53F3">
            <w:pPr>
              <w:rPr>
                <w:rFonts w:ascii="Montserrat" w:eastAsia="Times New Roman" w:hAnsi="Montserrat" w:cs="Calibri"/>
                <w:color w:val="000000"/>
                <w:sz w:val="22"/>
                <w:szCs w:val="22"/>
                <w:lang w:val="es-MX"/>
              </w:rPr>
            </w:pPr>
            <w:r w:rsidRPr="00E859AF">
              <w:rPr>
                <w:rFonts w:ascii="Montserrat" w:hAnsi="Montserrat"/>
                <w:sz w:val="22"/>
                <w:szCs w:val="22"/>
              </w:rPr>
              <w:t>OFICINA DE PENSIONES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288681E8" w14:textId="5B1C1ADC"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129,845</w:t>
            </w:r>
          </w:p>
        </w:tc>
        <w:tc>
          <w:tcPr>
            <w:tcW w:w="1701" w:type="dxa"/>
            <w:tcBorders>
              <w:top w:val="nil"/>
              <w:left w:val="nil"/>
              <w:bottom w:val="single" w:sz="8" w:space="0" w:color="auto"/>
              <w:right w:val="single" w:sz="8" w:space="0" w:color="auto"/>
            </w:tcBorders>
            <w:shd w:val="clear" w:color="auto" w:fill="auto"/>
            <w:vAlign w:val="center"/>
            <w:hideMark/>
          </w:tcPr>
          <w:p w14:paraId="4B326790" w14:textId="79BAB79B"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137,134</w:t>
            </w:r>
          </w:p>
        </w:tc>
        <w:tc>
          <w:tcPr>
            <w:tcW w:w="1559" w:type="dxa"/>
            <w:tcBorders>
              <w:top w:val="nil"/>
              <w:left w:val="nil"/>
              <w:bottom w:val="single" w:sz="8" w:space="0" w:color="auto"/>
              <w:right w:val="single" w:sz="8" w:space="0" w:color="auto"/>
            </w:tcBorders>
            <w:shd w:val="clear" w:color="auto" w:fill="auto"/>
            <w:vAlign w:val="center"/>
            <w:hideMark/>
          </w:tcPr>
          <w:p w14:paraId="67BBE7AF" w14:textId="4EA8682E" w:rsidR="00CA6080" w:rsidRPr="00E859AF" w:rsidRDefault="00CA6080" w:rsidP="006B53F3">
            <w:pPr>
              <w:jc w:val="right"/>
              <w:rPr>
                <w:rFonts w:ascii="Montserrat" w:eastAsia="Times New Roman" w:hAnsi="Montserrat" w:cs="Calibri"/>
                <w:color w:val="000000"/>
                <w:sz w:val="22"/>
                <w:szCs w:val="22"/>
                <w:lang w:val="es-MX"/>
              </w:rPr>
            </w:pPr>
            <w:r w:rsidRPr="00E859AF">
              <w:rPr>
                <w:rFonts w:ascii="Montserrat" w:hAnsi="Montserrat"/>
                <w:sz w:val="22"/>
                <w:szCs w:val="22"/>
              </w:rPr>
              <w:t>7,288</w:t>
            </w:r>
          </w:p>
        </w:tc>
      </w:tr>
    </w:tbl>
    <w:p w14:paraId="75BB8E8F" w14:textId="77777777" w:rsidR="00E859AF" w:rsidRDefault="00E859AF" w:rsidP="00E859AF">
      <w:pPr>
        <w:keepNext/>
        <w:tabs>
          <w:tab w:val="left" w:pos="7260"/>
        </w:tabs>
        <w:jc w:val="both"/>
        <w:rPr>
          <w:rFonts w:ascii="Montserrat" w:hAnsi="Montserrat"/>
          <w:b/>
        </w:rPr>
      </w:pPr>
    </w:p>
    <w:p w14:paraId="6C184876" w14:textId="77777777" w:rsidR="00E859AF" w:rsidRDefault="00E859AF">
      <w:pPr>
        <w:rPr>
          <w:rFonts w:ascii="Montserrat" w:hAnsi="Montserrat"/>
          <w:b/>
        </w:rPr>
      </w:pPr>
      <w:r>
        <w:rPr>
          <w:rFonts w:ascii="Montserrat" w:hAnsi="Montserrat"/>
          <w:b/>
        </w:rPr>
        <w:br w:type="page"/>
      </w:r>
    </w:p>
    <w:p w14:paraId="325CCD19" w14:textId="3758FE15" w:rsidR="00B0059B" w:rsidRPr="00726BD5" w:rsidRDefault="00B0059B" w:rsidP="00E859AF">
      <w:pPr>
        <w:keepNext/>
        <w:tabs>
          <w:tab w:val="left" w:pos="7260"/>
        </w:tabs>
        <w:jc w:val="both"/>
        <w:rPr>
          <w:rFonts w:ascii="Montserrat" w:hAnsi="Montserrat"/>
          <w:b/>
        </w:rPr>
      </w:pPr>
      <w:r w:rsidRPr="00726BD5">
        <w:rPr>
          <w:rFonts w:ascii="Montserrat" w:hAnsi="Montserrat"/>
          <w:b/>
        </w:rPr>
        <w:lastRenderedPageBreak/>
        <w:t>Fideicomisos, Mandatos y Análogos.</w:t>
      </w:r>
    </w:p>
    <w:p w14:paraId="2D3501E3" w14:textId="77777777" w:rsidR="00B0059B" w:rsidRPr="00726BD5" w:rsidRDefault="00B0059B" w:rsidP="00B0059B">
      <w:pPr>
        <w:tabs>
          <w:tab w:val="left" w:pos="7260"/>
        </w:tabs>
        <w:jc w:val="both"/>
        <w:rPr>
          <w:rFonts w:ascii="Montserrat" w:hAnsi="Montserrat"/>
          <w:b/>
        </w:rPr>
      </w:pPr>
    </w:p>
    <w:p w14:paraId="65963814"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A la fecha el Estado cuenta con 23 Fideicomisos, cuyo detalle se encuentra en el Tomo 1A:</w:t>
      </w:r>
    </w:p>
    <w:p w14:paraId="4EF25691" w14:textId="77777777" w:rsidR="00B0059B" w:rsidRPr="00726BD5" w:rsidRDefault="00B0059B" w:rsidP="00B0059B">
      <w:pPr>
        <w:tabs>
          <w:tab w:val="left" w:pos="7260"/>
        </w:tabs>
        <w:jc w:val="both"/>
        <w:rPr>
          <w:rFonts w:ascii="Montserrat" w:eastAsia="Times New Roman" w:hAnsi="Montserrat" w:cs="Arial"/>
        </w:rPr>
      </w:pPr>
    </w:p>
    <w:tbl>
      <w:tblPr>
        <w:tblStyle w:val="Tablaconcuadrcula"/>
        <w:tblW w:w="9209" w:type="dxa"/>
        <w:tblLayout w:type="fixed"/>
        <w:tblLook w:val="04A0" w:firstRow="1" w:lastRow="0" w:firstColumn="1" w:lastColumn="0" w:noHBand="0" w:noVBand="1"/>
      </w:tblPr>
      <w:tblGrid>
        <w:gridCol w:w="579"/>
        <w:gridCol w:w="1339"/>
        <w:gridCol w:w="3039"/>
        <w:gridCol w:w="2268"/>
        <w:gridCol w:w="1984"/>
      </w:tblGrid>
      <w:tr w:rsidR="00FD2DE6" w:rsidRPr="00E859AF" w14:paraId="1DA7613E" w14:textId="77777777" w:rsidTr="00E859AF">
        <w:trPr>
          <w:trHeight w:val="660"/>
          <w:tblHeader/>
        </w:trPr>
        <w:tc>
          <w:tcPr>
            <w:tcW w:w="579" w:type="dxa"/>
            <w:shd w:val="clear" w:color="auto" w:fill="BFBFBF" w:themeFill="background1" w:themeFillShade="BF"/>
            <w:vAlign w:val="center"/>
            <w:hideMark/>
          </w:tcPr>
          <w:p w14:paraId="63321008" w14:textId="77777777" w:rsidR="007B5ADF" w:rsidRPr="00E859AF" w:rsidRDefault="007B5ADF" w:rsidP="00703240">
            <w:pPr>
              <w:tabs>
                <w:tab w:val="left" w:pos="7260"/>
              </w:tabs>
              <w:jc w:val="center"/>
              <w:rPr>
                <w:rFonts w:ascii="Montserrat" w:hAnsi="Montserrat" w:cs="Calibri"/>
                <w:b/>
                <w:bCs/>
                <w:color w:val="000000"/>
                <w:sz w:val="21"/>
                <w:szCs w:val="21"/>
              </w:rPr>
            </w:pPr>
          </w:p>
          <w:p w14:paraId="763EDA93" w14:textId="3D32DC16" w:rsidR="00A018AA" w:rsidRPr="00E859AF" w:rsidRDefault="00A018AA" w:rsidP="00703240">
            <w:pPr>
              <w:tabs>
                <w:tab w:val="left" w:pos="7260"/>
              </w:tabs>
              <w:jc w:val="center"/>
              <w:rPr>
                <w:rFonts w:ascii="Montserrat" w:hAnsi="Montserrat" w:cs="Calibri"/>
                <w:b/>
                <w:bCs/>
                <w:color w:val="000000"/>
                <w:sz w:val="21"/>
                <w:szCs w:val="21"/>
              </w:rPr>
            </w:pPr>
            <w:r w:rsidRPr="00E859AF">
              <w:rPr>
                <w:rFonts w:ascii="Montserrat" w:hAnsi="Montserrat" w:cs="Calibri"/>
                <w:b/>
                <w:bCs/>
                <w:color w:val="000000"/>
                <w:sz w:val="21"/>
                <w:szCs w:val="21"/>
              </w:rPr>
              <w:t>No.</w:t>
            </w:r>
          </w:p>
        </w:tc>
        <w:tc>
          <w:tcPr>
            <w:tcW w:w="1339" w:type="dxa"/>
            <w:shd w:val="clear" w:color="auto" w:fill="BFBFBF" w:themeFill="background1" w:themeFillShade="BF"/>
            <w:vAlign w:val="center"/>
            <w:hideMark/>
          </w:tcPr>
          <w:p w14:paraId="64542B97" w14:textId="070C3712" w:rsidR="00A018AA" w:rsidRPr="00E859AF" w:rsidRDefault="00A018AA" w:rsidP="00703240">
            <w:pPr>
              <w:tabs>
                <w:tab w:val="left" w:pos="7260"/>
              </w:tabs>
              <w:jc w:val="center"/>
              <w:rPr>
                <w:rFonts w:ascii="Montserrat" w:hAnsi="Montserrat" w:cs="Calibri"/>
                <w:b/>
                <w:bCs/>
                <w:color w:val="000000"/>
                <w:sz w:val="21"/>
                <w:szCs w:val="21"/>
              </w:rPr>
            </w:pPr>
            <w:r w:rsidRPr="00E859AF">
              <w:rPr>
                <w:rFonts w:ascii="Montserrat" w:hAnsi="Montserrat" w:cs="Calibri"/>
                <w:b/>
                <w:bCs/>
                <w:color w:val="000000"/>
                <w:sz w:val="21"/>
                <w:szCs w:val="21"/>
              </w:rPr>
              <w:t>NÚM. FIDEICO</w:t>
            </w:r>
            <w:r w:rsidR="001D3D38" w:rsidRPr="00E859AF">
              <w:rPr>
                <w:rFonts w:ascii="Montserrat" w:hAnsi="Montserrat" w:cs="Calibri"/>
                <w:b/>
                <w:bCs/>
                <w:color w:val="000000"/>
                <w:sz w:val="21"/>
                <w:szCs w:val="21"/>
              </w:rPr>
              <w:t>-</w:t>
            </w:r>
            <w:r w:rsidRPr="00E859AF">
              <w:rPr>
                <w:rFonts w:ascii="Montserrat" w:hAnsi="Montserrat" w:cs="Calibri"/>
                <w:b/>
                <w:bCs/>
                <w:color w:val="000000"/>
                <w:sz w:val="21"/>
                <w:szCs w:val="21"/>
              </w:rPr>
              <w:t>MISO</w:t>
            </w:r>
          </w:p>
        </w:tc>
        <w:tc>
          <w:tcPr>
            <w:tcW w:w="3039" w:type="dxa"/>
            <w:shd w:val="clear" w:color="auto" w:fill="BFBFBF" w:themeFill="background1" w:themeFillShade="BF"/>
            <w:vAlign w:val="center"/>
            <w:hideMark/>
          </w:tcPr>
          <w:p w14:paraId="0C19392B" w14:textId="412C3506" w:rsidR="00A018AA" w:rsidRPr="00E859AF" w:rsidRDefault="00A018AA" w:rsidP="00703240">
            <w:pPr>
              <w:tabs>
                <w:tab w:val="left" w:pos="7260"/>
              </w:tabs>
              <w:jc w:val="center"/>
              <w:rPr>
                <w:rFonts w:ascii="Montserrat" w:hAnsi="Montserrat" w:cs="Calibri"/>
                <w:b/>
                <w:bCs/>
                <w:color w:val="000000"/>
                <w:sz w:val="21"/>
                <w:szCs w:val="21"/>
              </w:rPr>
            </w:pPr>
            <w:r w:rsidRPr="00E859AF">
              <w:rPr>
                <w:rFonts w:ascii="Montserrat" w:hAnsi="Montserrat" w:cs="Calibri"/>
                <w:b/>
                <w:bCs/>
                <w:color w:val="000000"/>
                <w:sz w:val="21"/>
                <w:szCs w:val="21"/>
              </w:rPr>
              <w:t>NOMBRE FIDEICOMISO</w:t>
            </w:r>
          </w:p>
        </w:tc>
        <w:tc>
          <w:tcPr>
            <w:tcW w:w="2268" w:type="dxa"/>
            <w:shd w:val="clear" w:color="auto" w:fill="BFBFBF" w:themeFill="background1" w:themeFillShade="BF"/>
            <w:vAlign w:val="center"/>
            <w:hideMark/>
          </w:tcPr>
          <w:p w14:paraId="3EB2DD05" w14:textId="50F32A8D" w:rsidR="00A018AA" w:rsidRPr="00E859AF" w:rsidRDefault="00A018AA" w:rsidP="00703240">
            <w:pPr>
              <w:tabs>
                <w:tab w:val="left" w:pos="7260"/>
              </w:tabs>
              <w:jc w:val="center"/>
              <w:rPr>
                <w:rFonts w:ascii="Montserrat" w:hAnsi="Montserrat" w:cs="Calibri"/>
                <w:b/>
                <w:bCs/>
                <w:color w:val="000000"/>
                <w:sz w:val="21"/>
                <w:szCs w:val="21"/>
              </w:rPr>
            </w:pPr>
            <w:r w:rsidRPr="00E859AF">
              <w:rPr>
                <w:rFonts w:ascii="Montserrat" w:hAnsi="Montserrat" w:cs="Calibri"/>
                <w:b/>
                <w:bCs/>
                <w:color w:val="000000"/>
                <w:sz w:val="21"/>
                <w:szCs w:val="21"/>
              </w:rPr>
              <w:t>TIPO</w:t>
            </w:r>
          </w:p>
        </w:tc>
        <w:tc>
          <w:tcPr>
            <w:tcW w:w="1984" w:type="dxa"/>
            <w:shd w:val="clear" w:color="auto" w:fill="BFBFBF" w:themeFill="background1" w:themeFillShade="BF"/>
            <w:vAlign w:val="center"/>
            <w:hideMark/>
          </w:tcPr>
          <w:p w14:paraId="6ED5DDB5" w14:textId="6E4F2CB2" w:rsidR="00A018AA" w:rsidRPr="00E859AF" w:rsidRDefault="00A018AA" w:rsidP="00703240">
            <w:pPr>
              <w:tabs>
                <w:tab w:val="left" w:pos="7260"/>
              </w:tabs>
              <w:jc w:val="center"/>
              <w:rPr>
                <w:rFonts w:ascii="Montserrat" w:hAnsi="Montserrat" w:cs="Calibri"/>
                <w:b/>
                <w:bCs/>
                <w:color w:val="000000"/>
                <w:sz w:val="21"/>
                <w:szCs w:val="21"/>
              </w:rPr>
            </w:pPr>
            <w:r w:rsidRPr="00E859AF">
              <w:rPr>
                <w:rFonts w:ascii="Montserrat" w:hAnsi="Montserrat" w:cs="Calibri"/>
                <w:b/>
                <w:bCs/>
                <w:color w:val="000000"/>
                <w:sz w:val="21"/>
                <w:szCs w:val="21"/>
              </w:rPr>
              <w:t>SALDO</w:t>
            </w:r>
          </w:p>
        </w:tc>
      </w:tr>
      <w:tr w:rsidR="003234FF" w:rsidRPr="00E859AF" w14:paraId="42A97227" w14:textId="77777777" w:rsidTr="00E859AF">
        <w:trPr>
          <w:trHeight w:val="465"/>
        </w:trPr>
        <w:tc>
          <w:tcPr>
            <w:tcW w:w="579" w:type="dxa"/>
            <w:noWrap/>
            <w:vAlign w:val="center"/>
            <w:hideMark/>
          </w:tcPr>
          <w:p w14:paraId="394A3DFF" w14:textId="4F6D7B4B"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1</w:t>
            </w:r>
          </w:p>
        </w:tc>
        <w:tc>
          <w:tcPr>
            <w:tcW w:w="1339" w:type="dxa"/>
            <w:noWrap/>
            <w:vAlign w:val="center"/>
            <w:hideMark/>
          </w:tcPr>
          <w:p w14:paraId="70393B7F" w14:textId="7B9D500F"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6259</w:t>
            </w:r>
          </w:p>
        </w:tc>
        <w:tc>
          <w:tcPr>
            <w:tcW w:w="3039" w:type="dxa"/>
            <w:vAlign w:val="center"/>
            <w:hideMark/>
          </w:tcPr>
          <w:p w14:paraId="5EAC6B80" w14:textId="138CA337"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FIDEICOMISO "ALIANZA PARA EL CAMPO DE OAXACA" (</w:t>
            </w:r>
            <w:proofErr w:type="spellStart"/>
            <w:r w:rsidRPr="00E859AF">
              <w:rPr>
                <w:rFonts w:ascii="Montserrat" w:hAnsi="Montserrat" w:cs="Calibri"/>
                <w:color w:val="000000"/>
                <w:sz w:val="21"/>
                <w:szCs w:val="21"/>
              </w:rPr>
              <w:t>FAPCO</w:t>
            </w:r>
            <w:proofErr w:type="spellEnd"/>
            <w:r w:rsidRPr="00E859AF">
              <w:rPr>
                <w:rFonts w:ascii="Montserrat" w:hAnsi="Montserrat" w:cs="Calibri"/>
                <w:color w:val="000000"/>
                <w:sz w:val="21"/>
                <w:szCs w:val="21"/>
              </w:rPr>
              <w:t xml:space="preserve">)      </w:t>
            </w:r>
          </w:p>
        </w:tc>
        <w:tc>
          <w:tcPr>
            <w:tcW w:w="2268" w:type="dxa"/>
            <w:vAlign w:val="center"/>
            <w:hideMark/>
          </w:tcPr>
          <w:p w14:paraId="17A4EACA" w14:textId="57E40671"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 xml:space="preserve">INVERSIÓN Y ADMINISTRACIÓN </w:t>
            </w:r>
          </w:p>
        </w:tc>
        <w:tc>
          <w:tcPr>
            <w:tcW w:w="1984" w:type="dxa"/>
            <w:noWrap/>
            <w:vAlign w:val="center"/>
            <w:hideMark/>
          </w:tcPr>
          <w:p w14:paraId="2CD00054" w14:textId="38381732" w:rsidR="003234FF" w:rsidRPr="00E859AF" w:rsidRDefault="003234FF" w:rsidP="003234FF">
            <w:pPr>
              <w:jc w:val="right"/>
              <w:rPr>
                <w:rFonts w:ascii="Montserrat" w:hAnsi="Montserrat" w:cs="Arial"/>
                <w:color w:val="0D0D0D"/>
                <w:sz w:val="21"/>
                <w:szCs w:val="21"/>
              </w:rPr>
            </w:pPr>
            <w:r w:rsidRPr="00E859AF">
              <w:rPr>
                <w:rFonts w:ascii="Montserrat" w:hAnsi="Montserrat" w:cs="Arial"/>
                <w:color w:val="0D0D0D"/>
                <w:sz w:val="21"/>
                <w:szCs w:val="21"/>
              </w:rPr>
              <w:t>25,024,275.66</w:t>
            </w:r>
          </w:p>
        </w:tc>
      </w:tr>
      <w:tr w:rsidR="003234FF" w:rsidRPr="00E859AF" w14:paraId="4A2E450B" w14:textId="77777777" w:rsidTr="00E859AF">
        <w:trPr>
          <w:trHeight w:val="465"/>
        </w:trPr>
        <w:tc>
          <w:tcPr>
            <w:tcW w:w="579" w:type="dxa"/>
            <w:noWrap/>
            <w:vAlign w:val="center"/>
            <w:hideMark/>
          </w:tcPr>
          <w:p w14:paraId="798D21A0" w14:textId="2A94B569"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2</w:t>
            </w:r>
          </w:p>
        </w:tc>
        <w:tc>
          <w:tcPr>
            <w:tcW w:w="1339" w:type="dxa"/>
            <w:noWrap/>
            <w:vAlign w:val="center"/>
            <w:hideMark/>
          </w:tcPr>
          <w:p w14:paraId="364FE0B3" w14:textId="73A04F8A"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360293021</w:t>
            </w:r>
          </w:p>
        </w:tc>
        <w:tc>
          <w:tcPr>
            <w:tcW w:w="3039" w:type="dxa"/>
            <w:vAlign w:val="center"/>
            <w:hideMark/>
          </w:tcPr>
          <w:p w14:paraId="316C0A52" w14:textId="078F3245"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FIDEICOMISO "MENORES DE SANTIAGO XOCHILTEPEC"</w:t>
            </w:r>
          </w:p>
        </w:tc>
        <w:tc>
          <w:tcPr>
            <w:tcW w:w="2268" w:type="dxa"/>
            <w:vAlign w:val="center"/>
            <w:hideMark/>
          </w:tcPr>
          <w:p w14:paraId="18D4B6B8" w14:textId="53E72392"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 xml:space="preserve">ADMINISTRACIÓN E INVERSIÓN </w:t>
            </w:r>
          </w:p>
        </w:tc>
        <w:tc>
          <w:tcPr>
            <w:tcW w:w="1984" w:type="dxa"/>
            <w:noWrap/>
            <w:vAlign w:val="center"/>
            <w:hideMark/>
          </w:tcPr>
          <w:p w14:paraId="33727CE6" w14:textId="43A7D4A8"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543,082.50</w:t>
            </w:r>
          </w:p>
        </w:tc>
      </w:tr>
      <w:tr w:rsidR="003234FF" w:rsidRPr="00E859AF" w14:paraId="44A3AECD" w14:textId="77777777" w:rsidTr="00E859AF">
        <w:trPr>
          <w:trHeight w:val="690"/>
        </w:trPr>
        <w:tc>
          <w:tcPr>
            <w:tcW w:w="579" w:type="dxa"/>
            <w:noWrap/>
            <w:vAlign w:val="center"/>
            <w:hideMark/>
          </w:tcPr>
          <w:p w14:paraId="6C1B8764" w14:textId="4EE401EB"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3</w:t>
            </w:r>
          </w:p>
        </w:tc>
        <w:tc>
          <w:tcPr>
            <w:tcW w:w="1339" w:type="dxa"/>
            <w:noWrap/>
            <w:vAlign w:val="center"/>
            <w:hideMark/>
          </w:tcPr>
          <w:p w14:paraId="772603B5" w14:textId="20F2D4E3"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11600</w:t>
            </w:r>
          </w:p>
        </w:tc>
        <w:tc>
          <w:tcPr>
            <w:tcW w:w="3039" w:type="dxa"/>
            <w:vAlign w:val="center"/>
            <w:hideMark/>
          </w:tcPr>
          <w:p w14:paraId="086924AD" w14:textId="40D540CB"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 xml:space="preserve">CONTRATO DE FIDEICOMISO IRREVOCABLE DE ADMINISTRACIÓN Y PAGO </w:t>
            </w:r>
          </w:p>
        </w:tc>
        <w:tc>
          <w:tcPr>
            <w:tcW w:w="2268" w:type="dxa"/>
            <w:vAlign w:val="center"/>
            <w:hideMark/>
          </w:tcPr>
          <w:p w14:paraId="44B0C64E" w14:textId="7D91FF9E"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IRREVOCABLE DE ADMINISTRACIÓN Y PAGO</w:t>
            </w:r>
          </w:p>
        </w:tc>
        <w:tc>
          <w:tcPr>
            <w:tcW w:w="1984" w:type="dxa"/>
            <w:noWrap/>
            <w:vAlign w:val="center"/>
            <w:hideMark/>
          </w:tcPr>
          <w:p w14:paraId="4CB486C9" w14:textId="0B3413D5" w:rsidR="003234FF" w:rsidRPr="00E859AF" w:rsidRDefault="003234FF" w:rsidP="003234FF">
            <w:pPr>
              <w:jc w:val="right"/>
              <w:rPr>
                <w:rFonts w:ascii="Montserrat" w:eastAsia="Times New Roman" w:hAnsi="Montserrat" w:cs="Arial"/>
                <w:sz w:val="21"/>
                <w:szCs w:val="21"/>
              </w:rPr>
            </w:pPr>
            <w:r w:rsidRPr="00E859AF">
              <w:rPr>
                <w:rFonts w:ascii="Montserrat" w:hAnsi="Montserrat" w:cs="Arial"/>
                <w:color w:val="0D0D0D"/>
                <w:sz w:val="21"/>
                <w:szCs w:val="21"/>
              </w:rPr>
              <w:t>9,246,412.51</w:t>
            </w:r>
          </w:p>
        </w:tc>
      </w:tr>
      <w:tr w:rsidR="003234FF" w:rsidRPr="00E859AF" w14:paraId="2AD177E3" w14:textId="77777777" w:rsidTr="00E859AF">
        <w:trPr>
          <w:trHeight w:val="915"/>
        </w:trPr>
        <w:tc>
          <w:tcPr>
            <w:tcW w:w="579" w:type="dxa"/>
            <w:noWrap/>
            <w:vAlign w:val="center"/>
            <w:hideMark/>
          </w:tcPr>
          <w:p w14:paraId="5675C9E2" w14:textId="0342A56F"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4</w:t>
            </w:r>
          </w:p>
        </w:tc>
        <w:tc>
          <w:tcPr>
            <w:tcW w:w="1339" w:type="dxa"/>
            <w:noWrap/>
            <w:vAlign w:val="center"/>
            <w:hideMark/>
          </w:tcPr>
          <w:p w14:paraId="7FCED404" w14:textId="2F2B45EA"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17556</w:t>
            </w:r>
          </w:p>
        </w:tc>
        <w:tc>
          <w:tcPr>
            <w:tcW w:w="3039" w:type="dxa"/>
            <w:vAlign w:val="center"/>
            <w:hideMark/>
          </w:tcPr>
          <w:p w14:paraId="3CA89364" w14:textId="0B056A7F"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FIDEICOMISOS IRREVOCABLE DE ADMINISTRACIÓN E INVERSIÓN (POLICÍAS ACAECIDOS EN CUMPLIMIENTO DE SU DEBER)</w:t>
            </w:r>
          </w:p>
        </w:tc>
        <w:tc>
          <w:tcPr>
            <w:tcW w:w="2268" w:type="dxa"/>
            <w:vAlign w:val="center"/>
            <w:hideMark/>
          </w:tcPr>
          <w:p w14:paraId="2A2B3992" w14:textId="664614D8"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 xml:space="preserve">IRREVOCABLE DE ADMINISTRACIÓN E INVERSIÓN </w:t>
            </w:r>
          </w:p>
        </w:tc>
        <w:tc>
          <w:tcPr>
            <w:tcW w:w="1984" w:type="dxa"/>
            <w:noWrap/>
            <w:vAlign w:val="center"/>
            <w:hideMark/>
          </w:tcPr>
          <w:p w14:paraId="574C7280" w14:textId="2BB8B9A9"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617,497.91</w:t>
            </w:r>
          </w:p>
        </w:tc>
      </w:tr>
      <w:tr w:rsidR="003234FF" w:rsidRPr="00E859AF" w14:paraId="32ED41F4" w14:textId="77777777" w:rsidTr="00E859AF">
        <w:trPr>
          <w:trHeight w:val="915"/>
        </w:trPr>
        <w:tc>
          <w:tcPr>
            <w:tcW w:w="579" w:type="dxa"/>
            <w:noWrap/>
            <w:vAlign w:val="center"/>
            <w:hideMark/>
          </w:tcPr>
          <w:p w14:paraId="40F0FBB5" w14:textId="59C29D33"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5</w:t>
            </w:r>
          </w:p>
        </w:tc>
        <w:tc>
          <w:tcPr>
            <w:tcW w:w="1339" w:type="dxa"/>
            <w:noWrap/>
            <w:vAlign w:val="center"/>
            <w:hideMark/>
          </w:tcPr>
          <w:p w14:paraId="77F52A17" w14:textId="46B7B5AA"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80678</w:t>
            </w:r>
          </w:p>
        </w:tc>
        <w:tc>
          <w:tcPr>
            <w:tcW w:w="3039" w:type="dxa"/>
            <w:vAlign w:val="center"/>
            <w:hideMark/>
          </w:tcPr>
          <w:p w14:paraId="135C9E4F" w14:textId="5C456BF9"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 xml:space="preserve">FIDEICOMISO PARA EL DESARROLLO LOGÍSTICO DEL ESTADO DE OAXACA / </w:t>
            </w:r>
            <w:proofErr w:type="spellStart"/>
            <w:r w:rsidRPr="00E859AF">
              <w:rPr>
                <w:rFonts w:ascii="Montserrat" w:hAnsi="Montserrat" w:cs="Calibri"/>
                <w:color w:val="000000"/>
                <w:sz w:val="21"/>
                <w:szCs w:val="21"/>
              </w:rPr>
              <w:t>FIDELO</w:t>
            </w:r>
            <w:proofErr w:type="spellEnd"/>
          </w:p>
        </w:tc>
        <w:tc>
          <w:tcPr>
            <w:tcW w:w="2268" w:type="dxa"/>
            <w:vAlign w:val="center"/>
            <w:hideMark/>
          </w:tcPr>
          <w:p w14:paraId="6331EA2E" w14:textId="79CD8F15"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IRREVOCABLE TRASLATIVO DE DOMINIO Y DE ADMINISTRACIÓN</w:t>
            </w:r>
          </w:p>
        </w:tc>
        <w:tc>
          <w:tcPr>
            <w:tcW w:w="1984" w:type="dxa"/>
            <w:noWrap/>
            <w:vAlign w:val="center"/>
            <w:hideMark/>
          </w:tcPr>
          <w:p w14:paraId="0CF1CA5E" w14:textId="6C216DE2"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21,276,234.73</w:t>
            </w:r>
          </w:p>
        </w:tc>
      </w:tr>
      <w:tr w:rsidR="003234FF" w:rsidRPr="00E859AF" w14:paraId="2542CCAF" w14:textId="77777777" w:rsidTr="00E859AF">
        <w:trPr>
          <w:trHeight w:val="690"/>
        </w:trPr>
        <w:tc>
          <w:tcPr>
            <w:tcW w:w="579" w:type="dxa"/>
            <w:noWrap/>
            <w:vAlign w:val="center"/>
            <w:hideMark/>
          </w:tcPr>
          <w:p w14:paraId="53080442" w14:textId="51EE1528"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6</w:t>
            </w:r>
          </w:p>
        </w:tc>
        <w:tc>
          <w:tcPr>
            <w:tcW w:w="1339" w:type="dxa"/>
            <w:noWrap/>
            <w:vAlign w:val="center"/>
            <w:hideMark/>
          </w:tcPr>
          <w:p w14:paraId="759830EA" w14:textId="00ACAC1C"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2050</w:t>
            </w:r>
          </w:p>
        </w:tc>
        <w:tc>
          <w:tcPr>
            <w:tcW w:w="3039" w:type="dxa"/>
            <w:vAlign w:val="center"/>
            <w:hideMark/>
          </w:tcPr>
          <w:p w14:paraId="6A997226" w14:textId="4B233477"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FIDEICOMISO PARA EL DESARROLLO REGIONAL SUR SURESTE (</w:t>
            </w:r>
            <w:proofErr w:type="spellStart"/>
            <w:r w:rsidRPr="00E859AF">
              <w:rPr>
                <w:rFonts w:ascii="Montserrat" w:hAnsi="Montserrat" w:cs="Calibri"/>
                <w:color w:val="000000"/>
                <w:sz w:val="21"/>
                <w:szCs w:val="21"/>
              </w:rPr>
              <w:t>FIDESUR</w:t>
            </w:r>
            <w:proofErr w:type="spellEnd"/>
            <w:r w:rsidRPr="00E859AF">
              <w:rPr>
                <w:rFonts w:ascii="Montserrat" w:hAnsi="Montserrat" w:cs="Calibri"/>
                <w:color w:val="000000"/>
                <w:sz w:val="21"/>
                <w:szCs w:val="21"/>
              </w:rPr>
              <w:t>)</w:t>
            </w:r>
          </w:p>
        </w:tc>
        <w:tc>
          <w:tcPr>
            <w:tcW w:w="2268" w:type="dxa"/>
            <w:vAlign w:val="center"/>
            <w:hideMark/>
          </w:tcPr>
          <w:p w14:paraId="1BBD0070" w14:textId="4CC3995D"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INVERSIÓN Y FUENTE DE PAGO</w:t>
            </w:r>
          </w:p>
        </w:tc>
        <w:tc>
          <w:tcPr>
            <w:tcW w:w="1984" w:type="dxa"/>
            <w:noWrap/>
            <w:vAlign w:val="center"/>
            <w:hideMark/>
          </w:tcPr>
          <w:p w14:paraId="3CC679FE" w14:textId="432F66EF" w:rsidR="003234FF" w:rsidRPr="00E859AF" w:rsidRDefault="003234FF" w:rsidP="003234FF">
            <w:pPr>
              <w:jc w:val="right"/>
              <w:rPr>
                <w:rFonts w:ascii="Montserrat" w:hAnsi="Montserrat" w:cs="Arial"/>
                <w:sz w:val="21"/>
                <w:szCs w:val="21"/>
              </w:rPr>
            </w:pPr>
            <w:r w:rsidRPr="00E859AF">
              <w:rPr>
                <w:rFonts w:ascii="Montserrat" w:hAnsi="Montserrat" w:cs="Arial"/>
                <w:color w:val="0D0D0D"/>
                <w:sz w:val="21"/>
                <w:szCs w:val="21"/>
              </w:rPr>
              <w:t>1,035,088.06</w:t>
            </w:r>
          </w:p>
        </w:tc>
      </w:tr>
      <w:tr w:rsidR="003234FF" w:rsidRPr="00E859AF" w14:paraId="64C2BC14" w14:textId="77777777" w:rsidTr="00E859AF">
        <w:trPr>
          <w:trHeight w:val="690"/>
        </w:trPr>
        <w:tc>
          <w:tcPr>
            <w:tcW w:w="579" w:type="dxa"/>
            <w:noWrap/>
            <w:vAlign w:val="center"/>
            <w:hideMark/>
          </w:tcPr>
          <w:p w14:paraId="0EB30D06" w14:textId="0D6165C3"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7</w:t>
            </w:r>
          </w:p>
        </w:tc>
        <w:tc>
          <w:tcPr>
            <w:tcW w:w="1339" w:type="dxa"/>
            <w:noWrap/>
            <w:vAlign w:val="center"/>
            <w:hideMark/>
          </w:tcPr>
          <w:p w14:paraId="0607628B" w14:textId="75F20345"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5868</w:t>
            </w:r>
          </w:p>
        </w:tc>
        <w:tc>
          <w:tcPr>
            <w:tcW w:w="3039" w:type="dxa"/>
            <w:vAlign w:val="center"/>
            <w:hideMark/>
          </w:tcPr>
          <w:p w14:paraId="645C2D49" w14:textId="69A0CDE3"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FIDEICOMISO DE FONDO DE VIVIENDA MAGISTERIAL (</w:t>
            </w:r>
            <w:proofErr w:type="spellStart"/>
            <w:r w:rsidRPr="00E859AF">
              <w:rPr>
                <w:rFonts w:ascii="Montserrat" w:hAnsi="Montserrat" w:cs="Calibri"/>
                <w:color w:val="000000"/>
                <w:sz w:val="21"/>
                <w:szCs w:val="21"/>
              </w:rPr>
              <w:t>FIPROVIM</w:t>
            </w:r>
            <w:proofErr w:type="spellEnd"/>
            <w:r w:rsidRPr="00E859AF">
              <w:rPr>
                <w:rFonts w:ascii="Montserrat" w:hAnsi="Montserrat" w:cs="Calibri"/>
                <w:color w:val="000000"/>
                <w:sz w:val="21"/>
                <w:szCs w:val="21"/>
              </w:rPr>
              <w:t>)</w:t>
            </w:r>
          </w:p>
        </w:tc>
        <w:tc>
          <w:tcPr>
            <w:tcW w:w="2268" w:type="dxa"/>
            <w:vAlign w:val="center"/>
            <w:hideMark/>
          </w:tcPr>
          <w:p w14:paraId="3F422B9A" w14:textId="0B3CAB09"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ADMINISTRACIÓN</w:t>
            </w:r>
          </w:p>
        </w:tc>
        <w:tc>
          <w:tcPr>
            <w:tcW w:w="1984" w:type="dxa"/>
            <w:noWrap/>
            <w:vAlign w:val="center"/>
            <w:hideMark/>
          </w:tcPr>
          <w:p w14:paraId="688F83DE" w14:textId="37406C4F" w:rsidR="003234FF" w:rsidRPr="00E859AF" w:rsidRDefault="003234FF" w:rsidP="003234FF">
            <w:pPr>
              <w:jc w:val="right"/>
              <w:rPr>
                <w:rFonts w:ascii="Montserrat" w:hAnsi="Montserrat" w:cs="Arial"/>
                <w:sz w:val="21"/>
                <w:szCs w:val="21"/>
              </w:rPr>
            </w:pPr>
            <w:r w:rsidRPr="00E859AF">
              <w:rPr>
                <w:rFonts w:ascii="Montserrat" w:hAnsi="Montserrat" w:cs="Arial"/>
                <w:color w:val="0D0D0D"/>
                <w:sz w:val="21"/>
                <w:szCs w:val="21"/>
              </w:rPr>
              <w:t>75,553,440.23</w:t>
            </w:r>
          </w:p>
        </w:tc>
      </w:tr>
      <w:tr w:rsidR="003234FF" w:rsidRPr="00E859AF" w14:paraId="6B5F6CAE" w14:textId="77777777" w:rsidTr="00E859AF">
        <w:trPr>
          <w:trHeight w:val="915"/>
        </w:trPr>
        <w:tc>
          <w:tcPr>
            <w:tcW w:w="579" w:type="dxa"/>
            <w:noWrap/>
            <w:vAlign w:val="center"/>
            <w:hideMark/>
          </w:tcPr>
          <w:p w14:paraId="1DB642B4" w14:textId="21CF6437"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8</w:t>
            </w:r>
          </w:p>
        </w:tc>
        <w:tc>
          <w:tcPr>
            <w:tcW w:w="1339" w:type="dxa"/>
            <w:noWrap/>
            <w:vAlign w:val="center"/>
            <w:hideMark/>
          </w:tcPr>
          <w:p w14:paraId="7429BB65" w14:textId="51FE4D1D"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360314033</w:t>
            </w:r>
          </w:p>
        </w:tc>
        <w:tc>
          <w:tcPr>
            <w:tcW w:w="3039" w:type="dxa"/>
            <w:vAlign w:val="center"/>
            <w:hideMark/>
          </w:tcPr>
          <w:p w14:paraId="000700E4" w14:textId="13BC4BD9"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FIDEICOMISO "FONDO DE GARANTÍA PARA LAS EMPRESAS DE SOLIDARIDAD DEL ESTADO DE OAXACA (</w:t>
            </w:r>
            <w:proofErr w:type="spellStart"/>
            <w:r w:rsidRPr="00E859AF">
              <w:rPr>
                <w:rFonts w:ascii="Montserrat" w:hAnsi="Montserrat" w:cs="Calibri"/>
                <w:color w:val="000000"/>
                <w:sz w:val="21"/>
                <w:szCs w:val="21"/>
              </w:rPr>
              <w:t>FOGAROAX</w:t>
            </w:r>
            <w:proofErr w:type="spellEnd"/>
            <w:r w:rsidRPr="00E859AF">
              <w:rPr>
                <w:rFonts w:ascii="Montserrat" w:hAnsi="Montserrat" w:cs="Calibri"/>
                <w:color w:val="000000"/>
                <w:sz w:val="21"/>
                <w:szCs w:val="21"/>
              </w:rPr>
              <w:t>)"</w:t>
            </w:r>
          </w:p>
        </w:tc>
        <w:tc>
          <w:tcPr>
            <w:tcW w:w="2268" w:type="dxa"/>
            <w:vAlign w:val="center"/>
            <w:hideMark/>
          </w:tcPr>
          <w:p w14:paraId="27B9CD39" w14:textId="281A42BA"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INVERSIÓN Y GARANTÍA COMPLEMENTARIA</w:t>
            </w:r>
          </w:p>
        </w:tc>
        <w:tc>
          <w:tcPr>
            <w:tcW w:w="1984" w:type="dxa"/>
            <w:noWrap/>
            <w:vAlign w:val="center"/>
            <w:hideMark/>
          </w:tcPr>
          <w:p w14:paraId="1E02C57F" w14:textId="1E8DD929"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44,504,100.26</w:t>
            </w:r>
          </w:p>
        </w:tc>
      </w:tr>
      <w:tr w:rsidR="003234FF" w:rsidRPr="00E859AF" w14:paraId="53E5046C" w14:textId="77777777" w:rsidTr="00E859AF">
        <w:trPr>
          <w:trHeight w:val="1140"/>
        </w:trPr>
        <w:tc>
          <w:tcPr>
            <w:tcW w:w="579" w:type="dxa"/>
            <w:noWrap/>
            <w:vAlign w:val="center"/>
            <w:hideMark/>
          </w:tcPr>
          <w:p w14:paraId="46D93D5B" w14:textId="5B97BBAC"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lastRenderedPageBreak/>
              <w:t>9</w:t>
            </w:r>
          </w:p>
        </w:tc>
        <w:tc>
          <w:tcPr>
            <w:tcW w:w="1339" w:type="dxa"/>
            <w:noWrap/>
            <w:vAlign w:val="center"/>
            <w:hideMark/>
          </w:tcPr>
          <w:p w14:paraId="1713A680" w14:textId="2A87B881"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28445-5</w:t>
            </w:r>
          </w:p>
        </w:tc>
        <w:tc>
          <w:tcPr>
            <w:tcW w:w="3039" w:type="dxa"/>
            <w:vAlign w:val="center"/>
            <w:hideMark/>
          </w:tcPr>
          <w:p w14:paraId="67E73931" w14:textId="18FD7CA1"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FIDEICOMISO PARA EL PROGRAMA ESPECIAL DE FINANCIAMIENTO A LA VIVIENDA PARA EL MAGISTERIO DEL ESTADO DE OAXACA (</w:t>
            </w:r>
            <w:proofErr w:type="spellStart"/>
            <w:r w:rsidRPr="00E859AF">
              <w:rPr>
                <w:rFonts w:ascii="Montserrat" w:hAnsi="Montserrat" w:cs="Calibri"/>
                <w:color w:val="000000"/>
                <w:sz w:val="21"/>
                <w:szCs w:val="21"/>
              </w:rPr>
              <w:t>FOVIMOAX</w:t>
            </w:r>
            <w:proofErr w:type="spellEnd"/>
            <w:r w:rsidRPr="00E859AF">
              <w:rPr>
                <w:rFonts w:ascii="Montserrat" w:hAnsi="Montserrat" w:cs="Calibri"/>
                <w:color w:val="000000"/>
                <w:sz w:val="21"/>
                <w:szCs w:val="21"/>
              </w:rPr>
              <w:t>)</w:t>
            </w:r>
          </w:p>
        </w:tc>
        <w:tc>
          <w:tcPr>
            <w:tcW w:w="2268" w:type="dxa"/>
            <w:vAlign w:val="center"/>
            <w:hideMark/>
          </w:tcPr>
          <w:p w14:paraId="2C89EB96" w14:textId="3981D55B"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INVERSIÓN Y ADMINISTRACIÓN</w:t>
            </w:r>
          </w:p>
        </w:tc>
        <w:tc>
          <w:tcPr>
            <w:tcW w:w="1984" w:type="dxa"/>
            <w:noWrap/>
            <w:vAlign w:val="center"/>
            <w:hideMark/>
          </w:tcPr>
          <w:p w14:paraId="421FAAB7" w14:textId="4DB27A60"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69,021,667.86</w:t>
            </w:r>
          </w:p>
        </w:tc>
      </w:tr>
      <w:tr w:rsidR="003234FF" w:rsidRPr="00E859AF" w14:paraId="1E595018" w14:textId="77777777" w:rsidTr="00E859AF">
        <w:trPr>
          <w:trHeight w:val="690"/>
        </w:trPr>
        <w:tc>
          <w:tcPr>
            <w:tcW w:w="579" w:type="dxa"/>
            <w:noWrap/>
            <w:vAlign w:val="center"/>
            <w:hideMark/>
          </w:tcPr>
          <w:p w14:paraId="13E78A30" w14:textId="48C18451"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10</w:t>
            </w:r>
          </w:p>
        </w:tc>
        <w:tc>
          <w:tcPr>
            <w:tcW w:w="1339" w:type="dxa"/>
            <w:noWrap/>
            <w:vAlign w:val="center"/>
            <w:hideMark/>
          </w:tcPr>
          <w:p w14:paraId="34AD1CF1" w14:textId="2581D3D5"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80697</w:t>
            </w:r>
          </w:p>
        </w:tc>
        <w:tc>
          <w:tcPr>
            <w:tcW w:w="3039" w:type="dxa"/>
            <w:vAlign w:val="center"/>
            <w:hideMark/>
          </w:tcPr>
          <w:p w14:paraId="703C2AA8" w14:textId="532ACD1E"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FIDEICOMISO "OFICINA DE CONVENCIONES Y VISITANTES DE OAXACA, OCV OAXACA (OCV)"</w:t>
            </w:r>
          </w:p>
        </w:tc>
        <w:tc>
          <w:tcPr>
            <w:tcW w:w="2268" w:type="dxa"/>
            <w:vAlign w:val="center"/>
            <w:hideMark/>
          </w:tcPr>
          <w:p w14:paraId="4F3D5874" w14:textId="5CEFF77E"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ENTIDAD PARAESTATAL</w:t>
            </w:r>
          </w:p>
        </w:tc>
        <w:tc>
          <w:tcPr>
            <w:tcW w:w="1984" w:type="dxa"/>
            <w:noWrap/>
            <w:vAlign w:val="center"/>
            <w:hideMark/>
          </w:tcPr>
          <w:p w14:paraId="7F7749DB" w14:textId="18591DE1"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390,273.63</w:t>
            </w:r>
          </w:p>
        </w:tc>
      </w:tr>
      <w:tr w:rsidR="003234FF" w:rsidRPr="00E859AF" w14:paraId="76EFA95A" w14:textId="77777777" w:rsidTr="00E859AF">
        <w:trPr>
          <w:trHeight w:val="465"/>
        </w:trPr>
        <w:tc>
          <w:tcPr>
            <w:tcW w:w="579" w:type="dxa"/>
            <w:noWrap/>
            <w:vAlign w:val="center"/>
            <w:hideMark/>
          </w:tcPr>
          <w:p w14:paraId="6362742B" w14:textId="6C511B56"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11</w:t>
            </w:r>
          </w:p>
        </w:tc>
        <w:tc>
          <w:tcPr>
            <w:tcW w:w="1339" w:type="dxa"/>
            <w:noWrap/>
            <w:vAlign w:val="center"/>
            <w:hideMark/>
          </w:tcPr>
          <w:p w14:paraId="530F9273" w14:textId="5BA3DEDE"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80736</w:t>
            </w:r>
          </w:p>
        </w:tc>
        <w:tc>
          <w:tcPr>
            <w:tcW w:w="3039" w:type="dxa"/>
            <w:vAlign w:val="center"/>
            <w:hideMark/>
          </w:tcPr>
          <w:p w14:paraId="17723726" w14:textId="6719DC18"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FIDEICOMISO DE FOMENTO PARA EL ESTADO DE OAXACA (</w:t>
            </w:r>
            <w:proofErr w:type="spellStart"/>
            <w:r w:rsidRPr="00E859AF">
              <w:rPr>
                <w:rFonts w:ascii="Montserrat" w:hAnsi="Montserrat" w:cs="Calibri"/>
                <w:color w:val="000000"/>
                <w:sz w:val="21"/>
                <w:szCs w:val="21"/>
              </w:rPr>
              <w:t>FIFEO</w:t>
            </w:r>
            <w:proofErr w:type="spellEnd"/>
            <w:r w:rsidRPr="00E859AF">
              <w:rPr>
                <w:rFonts w:ascii="Montserrat" w:hAnsi="Montserrat" w:cs="Calibri"/>
                <w:color w:val="000000"/>
                <w:sz w:val="21"/>
                <w:szCs w:val="21"/>
              </w:rPr>
              <w:t>)</w:t>
            </w:r>
          </w:p>
        </w:tc>
        <w:tc>
          <w:tcPr>
            <w:tcW w:w="2268" w:type="dxa"/>
            <w:vAlign w:val="center"/>
            <w:hideMark/>
          </w:tcPr>
          <w:p w14:paraId="13BA5977" w14:textId="11485409"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ENTIDAD PARAESTATAL</w:t>
            </w:r>
          </w:p>
        </w:tc>
        <w:tc>
          <w:tcPr>
            <w:tcW w:w="1984" w:type="dxa"/>
            <w:noWrap/>
            <w:vAlign w:val="center"/>
            <w:hideMark/>
          </w:tcPr>
          <w:p w14:paraId="6F06E798" w14:textId="2B0767F9"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5,771,457.59</w:t>
            </w:r>
          </w:p>
        </w:tc>
      </w:tr>
      <w:tr w:rsidR="003234FF" w:rsidRPr="00E859AF" w14:paraId="36EDBF49" w14:textId="77777777" w:rsidTr="00E859AF">
        <w:trPr>
          <w:trHeight w:val="528"/>
        </w:trPr>
        <w:tc>
          <w:tcPr>
            <w:tcW w:w="579" w:type="dxa"/>
            <w:noWrap/>
            <w:vAlign w:val="center"/>
            <w:hideMark/>
          </w:tcPr>
          <w:p w14:paraId="6340DAB4" w14:textId="02830EAC"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12</w:t>
            </w:r>
          </w:p>
        </w:tc>
        <w:tc>
          <w:tcPr>
            <w:tcW w:w="1339" w:type="dxa"/>
            <w:noWrap/>
            <w:vAlign w:val="center"/>
            <w:hideMark/>
          </w:tcPr>
          <w:p w14:paraId="4A1312B7" w14:textId="595AEDAE"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2003410-1</w:t>
            </w:r>
          </w:p>
        </w:tc>
        <w:tc>
          <w:tcPr>
            <w:tcW w:w="3039" w:type="dxa"/>
            <w:vAlign w:val="center"/>
            <w:hideMark/>
          </w:tcPr>
          <w:p w14:paraId="58C1E2D3" w14:textId="5D396152"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FONDO DE PENSIONES PARA LOS INTEGRANTES DE LAS INSTITUCIONES POLICIALES DE LA SECRETARÍA DE SEGURIDAD PÚBLICA DEL ESTADO DE OAXACA</w:t>
            </w:r>
          </w:p>
        </w:tc>
        <w:tc>
          <w:tcPr>
            <w:tcW w:w="2268" w:type="dxa"/>
            <w:vAlign w:val="center"/>
            <w:hideMark/>
          </w:tcPr>
          <w:p w14:paraId="2127AB85" w14:textId="20C8DC9F"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 xml:space="preserve">ADMINISTRACIÓN, INVERSIÓN Y PAGO </w:t>
            </w:r>
          </w:p>
        </w:tc>
        <w:tc>
          <w:tcPr>
            <w:tcW w:w="1984" w:type="dxa"/>
            <w:noWrap/>
            <w:vAlign w:val="center"/>
            <w:hideMark/>
          </w:tcPr>
          <w:p w14:paraId="09EBD241" w14:textId="127C9AB1"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54,997,613.64</w:t>
            </w:r>
          </w:p>
        </w:tc>
      </w:tr>
      <w:tr w:rsidR="003234FF" w:rsidRPr="00E859AF" w14:paraId="248A0625" w14:textId="77777777" w:rsidTr="00E859AF">
        <w:trPr>
          <w:trHeight w:val="514"/>
        </w:trPr>
        <w:tc>
          <w:tcPr>
            <w:tcW w:w="579" w:type="dxa"/>
            <w:noWrap/>
            <w:vAlign w:val="center"/>
            <w:hideMark/>
          </w:tcPr>
          <w:p w14:paraId="59D02BC9" w14:textId="3604D953"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13</w:t>
            </w:r>
          </w:p>
        </w:tc>
        <w:tc>
          <w:tcPr>
            <w:tcW w:w="1339" w:type="dxa"/>
            <w:noWrap/>
            <w:vAlign w:val="center"/>
            <w:hideMark/>
          </w:tcPr>
          <w:p w14:paraId="222C96D0" w14:textId="15C66FC8"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80063</w:t>
            </w:r>
          </w:p>
        </w:tc>
        <w:tc>
          <w:tcPr>
            <w:tcW w:w="3039" w:type="dxa"/>
            <w:vAlign w:val="center"/>
            <w:hideMark/>
          </w:tcPr>
          <w:p w14:paraId="23A26668" w14:textId="394D87DA"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FIDEICOMISO DEL FONDO PARA EL FOMENTO ESTATAL DE LAS ACTIVIDADES PRODUCTIVAS DE OAXACA (</w:t>
            </w:r>
            <w:proofErr w:type="spellStart"/>
            <w:r w:rsidRPr="00E859AF">
              <w:rPr>
                <w:rFonts w:ascii="Montserrat" w:hAnsi="Montserrat" w:cs="Calibri"/>
                <w:color w:val="000000"/>
                <w:sz w:val="21"/>
                <w:szCs w:val="21"/>
              </w:rPr>
              <w:t>FIDEAPO</w:t>
            </w:r>
            <w:proofErr w:type="spellEnd"/>
            <w:r w:rsidRPr="00E859AF">
              <w:rPr>
                <w:rFonts w:ascii="Montserrat" w:hAnsi="Montserrat" w:cs="Calibri"/>
                <w:color w:val="000000"/>
                <w:sz w:val="21"/>
                <w:szCs w:val="21"/>
              </w:rPr>
              <w:t xml:space="preserve">) </w:t>
            </w:r>
          </w:p>
        </w:tc>
        <w:tc>
          <w:tcPr>
            <w:tcW w:w="2268" w:type="dxa"/>
            <w:vAlign w:val="center"/>
            <w:hideMark/>
          </w:tcPr>
          <w:p w14:paraId="283F6A24" w14:textId="2E1F0F1E"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ENTIDAD PARAESTATAL</w:t>
            </w:r>
          </w:p>
        </w:tc>
        <w:tc>
          <w:tcPr>
            <w:tcW w:w="1984" w:type="dxa"/>
            <w:noWrap/>
            <w:vAlign w:val="center"/>
            <w:hideMark/>
          </w:tcPr>
          <w:p w14:paraId="23D7B00F" w14:textId="578BF3E2"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14,573,702.83</w:t>
            </w:r>
          </w:p>
        </w:tc>
      </w:tr>
      <w:tr w:rsidR="003234FF" w:rsidRPr="00E859AF" w14:paraId="7EE769DA" w14:textId="77777777" w:rsidTr="00E859AF">
        <w:trPr>
          <w:trHeight w:val="915"/>
        </w:trPr>
        <w:tc>
          <w:tcPr>
            <w:tcW w:w="579" w:type="dxa"/>
            <w:noWrap/>
            <w:vAlign w:val="center"/>
            <w:hideMark/>
          </w:tcPr>
          <w:p w14:paraId="5E1A72FC" w14:textId="4AE08414"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14</w:t>
            </w:r>
          </w:p>
        </w:tc>
        <w:tc>
          <w:tcPr>
            <w:tcW w:w="1339" w:type="dxa"/>
            <w:noWrap/>
            <w:vAlign w:val="center"/>
            <w:hideMark/>
          </w:tcPr>
          <w:p w14:paraId="37BA1A92" w14:textId="52BB8B5C"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80064</w:t>
            </w:r>
          </w:p>
        </w:tc>
        <w:tc>
          <w:tcPr>
            <w:tcW w:w="3039" w:type="dxa"/>
            <w:vAlign w:val="center"/>
            <w:hideMark/>
          </w:tcPr>
          <w:p w14:paraId="799A1187" w14:textId="06654692"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FIDEICOMISO DEL FONDO DE FOMENTO A EMPRESAS DE SOLIDARIDAD EN EL ISTMO DE OAXACA (</w:t>
            </w:r>
            <w:proofErr w:type="spellStart"/>
            <w:r w:rsidRPr="00E859AF">
              <w:rPr>
                <w:rFonts w:ascii="Montserrat" w:hAnsi="Montserrat" w:cs="Calibri"/>
                <w:color w:val="000000"/>
                <w:sz w:val="21"/>
                <w:szCs w:val="21"/>
              </w:rPr>
              <w:t>FOFASIO</w:t>
            </w:r>
            <w:proofErr w:type="spellEnd"/>
            <w:r w:rsidRPr="00E859AF">
              <w:rPr>
                <w:rFonts w:ascii="Montserrat" w:hAnsi="Montserrat" w:cs="Calibri"/>
                <w:color w:val="000000"/>
                <w:sz w:val="21"/>
                <w:szCs w:val="21"/>
              </w:rPr>
              <w:t xml:space="preserve">) </w:t>
            </w:r>
          </w:p>
        </w:tc>
        <w:tc>
          <w:tcPr>
            <w:tcW w:w="2268" w:type="dxa"/>
            <w:vAlign w:val="center"/>
            <w:hideMark/>
          </w:tcPr>
          <w:p w14:paraId="269F549E" w14:textId="1B5EE4B3"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ENTIDAD PARAESTATAL</w:t>
            </w:r>
          </w:p>
        </w:tc>
        <w:tc>
          <w:tcPr>
            <w:tcW w:w="1984" w:type="dxa"/>
            <w:noWrap/>
            <w:vAlign w:val="center"/>
            <w:hideMark/>
          </w:tcPr>
          <w:p w14:paraId="497DEC84" w14:textId="7F31CD27" w:rsidR="003234FF" w:rsidRPr="00E859AF" w:rsidRDefault="003234FF" w:rsidP="003234FF">
            <w:pPr>
              <w:jc w:val="right"/>
              <w:rPr>
                <w:rFonts w:ascii="Montserrat" w:eastAsia="Times New Roman" w:hAnsi="Montserrat" w:cs="Arial"/>
                <w:sz w:val="21"/>
                <w:szCs w:val="21"/>
              </w:rPr>
            </w:pPr>
            <w:r w:rsidRPr="00E859AF">
              <w:rPr>
                <w:rFonts w:ascii="Montserrat" w:hAnsi="Montserrat" w:cs="Arial"/>
                <w:color w:val="0D0D0D"/>
                <w:sz w:val="21"/>
                <w:szCs w:val="21"/>
              </w:rPr>
              <w:t>0.00</w:t>
            </w:r>
          </w:p>
        </w:tc>
      </w:tr>
      <w:tr w:rsidR="003234FF" w:rsidRPr="00E859AF" w14:paraId="79C7B12D" w14:textId="77777777" w:rsidTr="00E859AF">
        <w:trPr>
          <w:trHeight w:val="465"/>
        </w:trPr>
        <w:tc>
          <w:tcPr>
            <w:tcW w:w="579" w:type="dxa"/>
            <w:noWrap/>
            <w:vAlign w:val="center"/>
            <w:hideMark/>
          </w:tcPr>
          <w:p w14:paraId="0ED4D19A" w14:textId="4FCA5A0A"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15</w:t>
            </w:r>
          </w:p>
        </w:tc>
        <w:tc>
          <w:tcPr>
            <w:tcW w:w="1339" w:type="dxa"/>
            <w:noWrap/>
            <w:vAlign w:val="center"/>
            <w:hideMark/>
          </w:tcPr>
          <w:p w14:paraId="1579A8BC" w14:textId="3F59E417"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11150</w:t>
            </w:r>
          </w:p>
        </w:tc>
        <w:tc>
          <w:tcPr>
            <w:tcW w:w="3039" w:type="dxa"/>
            <w:vAlign w:val="center"/>
            <w:hideMark/>
          </w:tcPr>
          <w:p w14:paraId="774AF914" w14:textId="0F41B198"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FIDEICOMISO DE FOMENTO MINERO (FIMO)</w:t>
            </w:r>
          </w:p>
        </w:tc>
        <w:tc>
          <w:tcPr>
            <w:tcW w:w="2268" w:type="dxa"/>
            <w:vAlign w:val="center"/>
            <w:hideMark/>
          </w:tcPr>
          <w:p w14:paraId="12426ABB" w14:textId="44900786"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ENTIDAD PARAESTATAL</w:t>
            </w:r>
          </w:p>
        </w:tc>
        <w:tc>
          <w:tcPr>
            <w:tcW w:w="1984" w:type="dxa"/>
            <w:noWrap/>
            <w:vAlign w:val="center"/>
            <w:hideMark/>
          </w:tcPr>
          <w:p w14:paraId="19054228" w14:textId="3F7494EA"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15,908,238.89</w:t>
            </w:r>
          </w:p>
        </w:tc>
      </w:tr>
      <w:tr w:rsidR="003234FF" w:rsidRPr="00E859AF" w14:paraId="65ECB06E" w14:textId="77777777" w:rsidTr="00E859AF">
        <w:trPr>
          <w:trHeight w:val="915"/>
        </w:trPr>
        <w:tc>
          <w:tcPr>
            <w:tcW w:w="579" w:type="dxa"/>
            <w:noWrap/>
            <w:vAlign w:val="center"/>
            <w:hideMark/>
          </w:tcPr>
          <w:p w14:paraId="7CE4F179" w14:textId="6A1D357B"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16</w:t>
            </w:r>
          </w:p>
        </w:tc>
        <w:tc>
          <w:tcPr>
            <w:tcW w:w="1339" w:type="dxa"/>
            <w:noWrap/>
            <w:vAlign w:val="center"/>
            <w:hideMark/>
          </w:tcPr>
          <w:p w14:paraId="76109EF9" w14:textId="0B39F1EF"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2249</w:t>
            </w:r>
          </w:p>
        </w:tc>
        <w:tc>
          <w:tcPr>
            <w:tcW w:w="3039" w:type="dxa"/>
            <w:vAlign w:val="center"/>
            <w:hideMark/>
          </w:tcPr>
          <w:p w14:paraId="76AFA593" w14:textId="177074FD"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 xml:space="preserve">CORREDOR </w:t>
            </w:r>
            <w:proofErr w:type="spellStart"/>
            <w:r w:rsidRPr="00E859AF">
              <w:rPr>
                <w:rFonts w:ascii="Montserrat" w:hAnsi="Montserrat" w:cs="Calibri"/>
                <w:color w:val="000000"/>
                <w:sz w:val="21"/>
                <w:szCs w:val="21"/>
              </w:rPr>
              <w:t>BRT</w:t>
            </w:r>
            <w:proofErr w:type="spellEnd"/>
            <w:r w:rsidRPr="00E859AF">
              <w:rPr>
                <w:rFonts w:ascii="Montserrat" w:hAnsi="Montserrat" w:cs="Calibri"/>
                <w:color w:val="000000"/>
                <w:sz w:val="21"/>
                <w:szCs w:val="21"/>
              </w:rPr>
              <w:t xml:space="preserve"> 1 PONIENTE DEL SISTEMA INTEGRADO DE TRANSPORTE DE LA ZONA METROPOLITANA DE OAXACA</w:t>
            </w:r>
          </w:p>
        </w:tc>
        <w:tc>
          <w:tcPr>
            <w:tcW w:w="2268" w:type="dxa"/>
            <w:vAlign w:val="center"/>
            <w:hideMark/>
          </w:tcPr>
          <w:p w14:paraId="4B6FE0A1" w14:textId="7C8758EC"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ADMINISTRACIÓN</w:t>
            </w:r>
          </w:p>
        </w:tc>
        <w:tc>
          <w:tcPr>
            <w:tcW w:w="1984" w:type="dxa"/>
            <w:noWrap/>
            <w:vAlign w:val="center"/>
            <w:hideMark/>
          </w:tcPr>
          <w:p w14:paraId="1E094D71" w14:textId="01F53F26"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42,475,746.89</w:t>
            </w:r>
          </w:p>
        </w:tc>
      </w:tr>
      <w:tr w:rsidR="003234FF" w:rsidRPr="00E859AF" w14:paraId="630C5385" w14:textId="77777777" w:rsidTr="00E859AF">
        <w:trPr>
          <w:trHeight w:val="465"/>
        </w:trPr>
        <w:tc>
          <w:tcPr>
            <w:tcW w:w="579" w:type="dxa"/>
            <w:noWrap/>
            <w:vAlign w:val="center"/>
            <w:hideMark/>
          </w:tcPr>
          <w:p w14:paraId="443957A2" w14:textId="449F51CC"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lastRenderedPageBreak/>
              <w:t>17</w:t>
            </w:r>
          </w:p>
        </w:tc>
        <w:tc>
          <w:tcPr>
            <w:tcW w:w="1339" w:type="dxa"/>
            <w:noWrap/>
            <w:vAlign w:val="center"/>
            <w:hideMark/>
          </w:tcPr>
          <w:p w14:paraId="66E3BC5D" w14:textId="5BD38767"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11041126</w:t>
            </w:r>
          </w:p>
        </w:tc>
        <w:tc>
          <w:tcPr>
            <w:tcW w:w="3039" w:type="dxa"/>
            <w:vAlign w:val="center"/>
            <w:hideMark/>
          </w:tcPr>
          <w:p w14:paraId="49BE25CF" w14:textId="2737B404"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FONDO DE DESASTRES NATURALES DEL ESTADO DE OAXACA (</w:t>
            </w:r>
            <w:proofErr w:type="spellStart"/>
            <w:r w:rsidRPr="00E859AF">
              <w:rPr>
                <w:rFonts w:ascii="Montserrat" w:hAnsi="Montserrat" w:cs="Calibri"/>
                <w:color w:val="000000"/>
                <w:sz w:val="21"/>
                <w:szCs w:val="21"/>
              </w:rPr>
              <w:t>FDNEO</w:t>
            </w:r>
            <w:proofErr w:type="spellEnd"/>
            <w:r w:rsidRPr="00E859AF">
              <w:rPr>
                <w:rFonts w:ascii="Montserrat" w:hAnsi="Montserrat" w:cs="Calibri"/>
                <w:color w:val="000000"/>
                <w:sz w:val="21"/>
                <w:szCs w:val="21"/>
              </w:rPr>
              <w:t>)</w:t>
            </w:r>
          </w:p>
        </w:tc>
        <w:tc>
          <w:tcPr>
            <w:tcW w:w="2268" w:type="dxa"/>
            <w:vAlign w:val="center"/>
            <w:hideMark/>
          </w:tcPr>
          <w:p w14:paraId="1EBD50DD" w14:textId="231D9BE5"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 xml:space="preserve">ADMINISTRACIÓN, INVERSIÓN Y PAGO </w:t>
            </w:r>
          </w:p>
        </w:tc>
        <w:tc>
          <w:tcPr>
            <w:tcW w:w="1984" w:type="dxa"/>
            <w:noWrap/>
            <w:vAlign w:val="center"/>
            <w:hideMark/>
          </w:tcPr>
          <w:p w14:paraId="5FD3FFE1" w14:textId="0DCA7BE2"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319,814,537.13</w:t>
            </w:r>
          </w:p>
        </w:tc>
      </w:tr>
      <w:tr w:rsidR="003234FF" w:rsidRPr="00E859AF" w14:paraId="1AB30AE6" w14:textId="77777777" w:rsidTr="00E859AF">
        <w:trPr>
          <w:trHeight w:val="690"/>
        </w:trPr>
        <w:tc>
          <w:tcPr>
            <w:tcW w:w="579" w:type="dxa"/>
            <w:noWrap/>
            <w:vAlign w:val="center"/>
            <w:hideMark/>
          </w:tcPr>
          <w:p w14:paraId="6AED0E06" w14:textId="7C9F0571"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18</w:t>
            </w:r>
          </w:p>
        </w:tc>
        <w:tc>
          <w:tcPr>
            <w:tcW w:w="1339" w:type="dxa"/>
            <w:noWrap/>
            <w:vAlign w:val="center"/>
            <w:hideMark/>
          </w:tcPr>
          <w:p w14:paraId="233FEDEC" w14:textId="5D841765"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4100558</w:t>
            </w:r>
          </w:p>
        </w:tc>
        <w:tc>
          <w:tcPr>
            <w:tcW w:w="3039" w:type="dxa"/>
            <w:vAlign w:val="center"/>
            <w:hideMark/>
          </w:tcPr>
          <w:p w14:paraId="66974662" w14:textId="3989A9DE"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FIDEICOMISO IRREVOCABLE DE ADMINISTRACIÓN Y FUENTE DE PAGO</w:t>
            </w:r>
          </w:p>
        </w:tc>
        <w:tc>
          <w:tcPr>
            <w:tcW w:w="2268" w:type="dxa"/>
            <w:vAlign w:val="center"/>
            <w:hideMark/>
          </w:tcPr>
          <w:p w14:paraId="5473FAA9" w14:textId="38AAEA08"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ADMINISTRACIÓN Y FUENTE DE PAGO</w:t>
            </w:r>
          </w:p>
        </w:tc>
        <w:tc>
          <w:tcPr>
            <w:tcW w:w="1984" w:type="dxa"/>
            <w:noWrap/>
            <w:vAlign w:val="center"/>
            <w:hideMark/>
          </w:tcPr>
          <w:p w14:paraId="0064162A" w14:textId="47980BB7"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58,573,053.55</w:t>
            </w:r>
          </w:p>
        </w:tc>
      </w:tr>
      <w:tr w:rsidR="003234FF" w:rsidRPr="00E859AF" w14:paraId="2945DAA5" w14:textId="77777777" w:rsidTr="00E859AF">
        <w:trPr>
          <w:trHeight w:val="690"/>
        </w:trPr>
        <w:tc>
          <w:tcPr>
            <w:tcW w:w="579" w:type="dxa"/>
            <w:noWrap/>
            <w:vAlign w:val="center"/>
            <w:hideMark/>
          </w:tcPr>
          <w:p w14:paraId="61B5D187" w14:textId="1DC97609"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19</w:t>
            </w:r>
          </w:p>
        </w:tc>
        <w:tc>
          <w:tcPr>
            <w:tcW w:w="1339" w:type="dxa"/>
            <w:noWrap/>
            <w:vAlign w:val="center"/>
            <w:hideMark/>
          </w:tcPr>
          <w:p w14:paraId="17340435" w14:textId="2DFB7733"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10754</w:t>
            </w:r>
          </w:p>
        </w:tc>
        <w:tc>
          <w:tcPr>
            <w:tcW w:w="3039" w:type="dxa"/>
            <w:vAlign w:val="center"/>
            <w:hideMark/>
          </w:tcPr>
          <w:p w14:paraId="419228C4" w14:textId="033F02D9"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 xml:space="preserve">FIDEICOMISO IRREVOCABLE DE ADMINISTRACIÓN Y FUENTE DE PAGO </w:t>
            </w:r>
          </w:p>
        </w:tc>
        <w:tc>
          <w:tcPr>
            <w:tcW w:w="2268" w:type="dxa"/>
            <w:vAlign w:val="center"/>
            <w:hideMark/>
          </w:tcPr>
          <w:p w14:paraId="1F32B3EF" w14:textId="3D502ED3"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ADMINISTRACIÓN Y FUENTE DE PAGO</w:t>
            </w:r>
          </w:p>
        </w:tc>
        <w:tc>
          <w:tcPr>
            <w:tcW w:w="1984" w:type="dxa"/>
            <w:noWrap/>
            <w:vAlign w:val="center"/>
            <w:hideMark/>
          </w:tcPr>
          <w:p w14:paraId="772D8B4C" w14:textId="3D463AD5"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2,991,894.28</w:t>
            </w:r>
          </w:p>
        </w:tc>
      </w:tr>
      <w:tr w:rsidR="003234FF" w:rsidRPr="00E859AF" w14:paraId="418E83F1" w14:textId="77777777" w:rsidTr="00E859AF">
        <w:trPr>
          <w:trHeight w:val="690"/>
        </w:trPr>
        <w:tc>
          <w:tcPr>
            <w:tcW w:w="579" w:type="dxa"/>
            <w:noWrap/>
            <w:vAlign w:val="center"/>
            <w:hideMark/>
          </w:tcPr>
          <w:p w14:paraId="77E1C57A" w14:textId="59AEFAF9"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20</w:t>
            </w:r>
          </w:p>
        </w:tc>
        <w:tc>
          <w:tcPr>
            <w:tcW w:w="1339" w:type="dxa"/>
            <w:noWrap/>
            <w:vAlign w:val="center"/>
            <w:hideMark/>
          </w:tcPr>
          <w:p w14:paraId="2B61DBD9" w14:textId="0F001016"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11581</w:t>
            </w:r>
          </w:p>
        </w:tc>
        <w:tc>
          <w:tcPr>
            <w:tcW w:w="3039" w:type="dxa"/>
            <w:vAlign w:val="center"/>
            <w:hideMark/>
          </w:tcPr>
          <w:p w14:paraId="643BD77E" w14:textId="10ED340E"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FIDEICOMISO IRREVOCABLE DE ADMINISTRACIÓN Y FUENTE DE PAGO (MAS OAXACA)</w:t>
            </w:r>
          </w:p>
        </w:tc>
        <w:tc>
          <w:tcPr>
            <w:tcW w:w="2268" w:type="dxa"/>
            <w:vAlign w:val="center"/>
            <w:hideMark/>
          </w:tcPr>
          <w:p w14:paraId="66C6D76F" w14:textId="59DC19EB"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ADMINISTRACIÓN Y FUENTE DE PAGO</w:t>
            </w:r>
          </w:p>
        </w:tc>
        <w:tc>
          <w:tcPr>
            <w:tcW w:w="1984" w:type="dxa"/>
            <w:noWrap/>
            <w:vAlign w:val="center"/>
            <w:hideMark/>
          </w:tcPr>
          <w:p w14:paraId="7543B548" w14:textId="553E0A48"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9,674,962.45</w:t>
            </w:r>
          </w:p>
        </w:tc>
      </w:tr>
      <w:tr w:rsidR="003234FF" w:rsidRPr="00E859AF" w14:paraId="01BF14F1" w14:textId="77777777" w:rsidTr="00E859AF">
        <w:trPr>
          <w:trHeight w:val="915"/>
        </w:trPr>
        <w:tc>
          <w:tcPr>
            <w:tcW w:w="579" w:type="dxa"/>
            <w:noWrap/>
            <w:vAlign w:val="center"/>
            <w:hideMark/>
          </w:tcPr>
          <w:p w14:paraId="136886E6" w14:textId="2993F0F6"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21</w:t>
            </w:r>
          </w:p>
        </w:tc>
        <w:tc>
          <w:tcPr>
            <w:tcW w:w="1339" w:type="dxa"/>
            <w:noWrap/>
            <w:vAlign w:val="center"/>
            <w:hideMark/>
          </w:tcPr>
          <w:p w14:paraId="2C0BF0EF" w14:textId="479D90D8"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360958235</w:t>
            </w:r>
          </w:p>
        </w:tc>
        <w:tc>
          <w:tcPr>
            <w:tcW w:w="3039" w:type="dxa"/>
            <w:vAlign w:val="center"/>
            <w:hideMark/>
          </w:tcPr>
          <w:p w14:paraId="6126D052" w14:textId="2ED090E4"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NIÑAS, NIÑOS, ADOLESCENTES Y ADULTOS DAMNIFICADOS DEL MUNICIPIO DE SANTIAGO JAMILTEPEC, OAXACA.</w:t>
            </w:r>
          </w:p>
        </w:tc>
        <w:tc>
          <w:tcPr>
            <w:tcW w:w="2268" w:type="dxa"/>
            <w:vAlign w:val="center"/>
            <w:hideMark/>
          </w:tcPr>
          <w:p w14:paraId="2912CF47" w14:textId="1E8B7356"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 xml:space="preserve">ADMINISTRACIÓN, INVERSIÓN Y PAGO </w:t>
            </w:r>
          </w:p>
        </w:tc>
        <w:tc>
          <w:tcPr>
            <w:tcW w:w="1984" w:type="dxa"/>
            <w:noWrap/>
            <w:vAlign w:val="center"/>
            <w:hideMark/>
          </w:tcPr>
          <w:p w14:paraId="51A6A970" w14:textId="00801AF4"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2,621,352.82</w:t>
            </w:r>
          </w:p>
        </w:tc>
      </w:tr>
      <w:tr w:rsidR="003234FF" w:rsidRPr="00E859AF" w14:paraId="0EC4DE46" w14:textId="77777777" w:rsidTr="00E859AF">
        <w:trPr>
          <w:trHeight w:val="690"/>
        </w:trPr>
        <w:tc>
          <w:tcPr>
            <w:tcW w:w="579" w:type="dxa"/>
            <w:noWrap/>
            <w:vAlign w:val="center"/>
            <w:hideMark/>
          </w:tcPr>
          <w:p w14:paraId="1A932091" w14:textId="29C14F7A"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22</w:t>
            </w:r>
          </w:p>
        </w:tc>
        <w:tc>
          <w:tcPr>
            <w:tcW w:w="1339" w:type="dxa"/>
            <w:noWrap/>
            <w:vAlign w:val="center"/>
            <w:hideMark/>
          </w:tcPr>
          <w:p w14:paraId="19552B4E" w14:textId="05C1D4FC"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2004587</w:t>
            </w:r>
          </w:p>
        </w:tc>
        <w:tc>
          <w:tcPr>
            <w:tcW w:w="3039" w:type="dxa"/>
            <w:vAlign w:val="center"/>
            <w:hideMark/>
          </w:tcPr>
          <w:p w14:paraId="736B0488" w14:textId="43DA7133"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FIDEICOMISO MAESTRO DE ADMINISTRACIÓN Y FUENTE DE PAGO</w:t>
            </w:r>
          </w:p>
        </w:tc>
        <w:tc>
          <w:tcPr>
            <w:tcW w:w="2268" w:type="dxa"/>
            <w:vAlign w:val="center"/>
            <w:hideMark/>
          </w:tcPr>
          <w:p w14:paraId="6B99D442" w14:textId="54CF023D"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ADMINISTRACIÓN Y FUENTE DE PAGO</w:t>
            </w:r>
          </w:p>
        </w:tc>
        <w:tc>
          <w:tcPr>
            <w:tcW w:w="1984" w:type="dxa"/>
            <w:noWrap/>
            <w:vAlign w:val="center"/>
            <w:hideMark/>
          </w:tcPr>
          <w:p w14:paraId="0770D5C0" w14:textId="1D61F974"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200,455,551.65</w:t>
            </w:r>
          </w:p>
        </w:tc>
      </w:tr>
      <w:tr w:rsidR="003234FF" w:rsidRPr="00E859AF" w14:paraId="796AD407" w14:textId="77777777" w:rsidTr="00E859AF">
        <w:trPr>
          <w:trHeight w:val="690"/>
        </w:trPr>
        <w:tc>
          <w:tcPr>
            <w:tcW w:w="579" w:type="dxa"/>
            <w:noWrap/>
            <w:vAlign w:val="center"/>
            <w:hideMark/>
          </w:tcPr>
          <w:p w14:paraId="318FEDC2" w14:textId="1A7B9ADE"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23</w:t>
            </w:r>
          </w:p>
        </w:tc>
        <w:tc>
          <w:tcPr>
            <w:tcW w:w="1339" w:type="dxa"/>
            <w:noWrap/>
            <w:vAlign w:val="center"/>
            <w:hideMark/>
          </w:tcPr>
          <w:p w14:paraId="79A10C81" w14:textId="3E5B6A6B" w:rsidR="003234FF" w:rsidRPr="00E859AF" w:rsidRDefault="003234FF" w:rsidP="003234FF">
            <w:pPr>
              <w:jc w:val="center"/>
              <w:rPr>
                <w:rFonts w:ascii="Montserrat" w:eastAsia="Times New Roman" w:hAnsi="Montserrat" w:cs="Arial"/>
                <w:sz w:val="21"/>
                <w:szCs w:val="21"/>
              </w:rPr>
            </w:pPr>
            <w:r w:rsidRPr="00E859AF">
              <w:rPr>
                <w:rFonts w:ascii="Montserrat" w:hAnsi="Montserrat" w:cs="Calibri"/>
                <w:color w:val="000000"/>
                <w:sz w:val="21"/>
                <w:szCs w:val="21"/>
              </w:rPr>
              <w:t>2004588</w:t>
            </w:r>
          </w:p>
        </w:tc>
        <w:tc>
          <w:tcPr>
            <w:tcW w:w="3039" w:type="dxa"/>
            <w:vAlign w:val="center"/>
            <w:hideMark/>
          </w:tcPr>
          <w:p w14:paraId="3269B9AF" w14:textId="4887DCC9"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FIDEICOMISO MAESTRO DE ADMINISTRACIÓN Y FUENTE DE PAGO</w:t>
            </w:r>
          </w:p>
        </w:tc>
        <w:tc>
          <w:tcPr>
            <w:tcW w:w="2268" w:type="dxa"/>
            <w:vAlign w:val="center"/>
            <w:hideMark/>
          </w:tcPr>
          <w:p w14:paraId="1D053C21" w14:textId="41B9BAAD"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ADMINISTRACIÓN Y FUENTE DE PAGO</w:t>
            </w:r>
          </w:p>
        </w:tc>
        <w:tc>
          <w:tcPr>
            <w:tcW w:w="1984" w:type="dxa"/>
            <w:noWrap/>
            <w:vAlign w:val="center"/>
            <w:hideMark/>
          </w:tcPr>
          <w:p w14:paraId="6CE07163" w14:textId="38AF2AA5" w:rsidR="003234FF" w:rsidRPr="00E859AF" w:rsidRDefault="003234FF" w:rsidP="003234FF">
            <w:pPr>
              <w:jc w:val="right"/>
              <w:rPr>
                <w:rFonts w:ascii="Montserrat" w:hAnsi="Montserrat" w:cs="Arial"/>
                <w:color w:val="000000"/>
                <w:sz w:val="21"/>
                <w:szCs w:val="21"/>
              </w:rPr>
            </w:pPr>
            <w:r w:rsidRPr="00E859AF">
              <w:rPr>
                <w:rFonts w:ascii="Montserrat" w:hAnsi="Montserrat" w:cs="Arial"/>
                <w:color w:val="0D0D0D"/>
                <w:sz w:val="21"/>
                <w:szCs w:val="21"/>
              </w:rPr>
              <w:t>157,287,887.40</w:t>
            </w:r>
          </w:p>
        </w:tc>
      </w:tr>
      <w:tr w:rsidR="003234FF" w:rsidRPr="00E859AF" w14:paraId="59D4A2AB" w14:textId="77777777" w:rsidTr="00E859AF">
        <w:trPr>
          <w:trHeight w:val="605"/>
        </w:trPr>
        <w:tc>
          <w:tcPr>
            <w:tcW w:w="579" w:type="dxa"/>
            <w:noWrap/>
            <w:vAlign w:val="center"/>
            <w:hideMark/>
          </w:tcPr>
          <w:p w14:paraId="1255147F" w14:textId="344CF56B" w:rsidR="003234FF" w:rsidRPr="00E859AF" w:rsidRDefault="003234FF" w:rsidP="003234FF">
            <w:pPr>
              <w:rPr>
                <w:rFonts w:ascii="Montserrat" w:eastAsia="Times New Roman" w:hAnsi="Montserrat" w:cs="Arial"/>
                <w:sz w:val="21"/>
                <w:szCs w:val="21"/>
              </w:rPr>
            </w:pPr>
            <w:r w:rsidRPr="00E859AF">
              <w:rPr>
                <w:rFonts w:ascii="Montserrat" w:hAnsi="Montserrat" w:cs="Calibri"/>
                <w:color w:val="000000"/>
                <w:sz w:val="21"/>
                <w:szCs w:val="21"/>
              </w:rPr>
              <w:t> </w:t>
            </w:r>
          </w:p>
        </w:tc>
        <w:tc>
          <w:tcPr>
            <w:tcW w:w="1339" w:type="dxa"/>
            <w:vAlign w:val="center"/>
            <w:hideMark/>
          </w:tcPr>
          <w:p w14:paraId="64FFFAAA" w14:textId="66DC38B0" w:rsidR="003234FF" w:rsidRPr="00E859AF" w:rsidRDefault="003234FF" w:rsidP="003234FF">
            <w:pPr>
              <w:jc w:val="center"/>
              <w:rPr>
                <w:rFonts w:ascii="Montserrat" w:eastAsia="Times New Roman" w:hAnsi="Montserrat" w:cs="Arial"/>
                <w:b/>
                <w:bCs/>
                <w:sz w:val="21"/>
                <w:szCs w:val="21"/>
              </w:rPr>
            </w:pPr>
            <w:r w:rsidRPr="00E859AF">
              <w:rPr>
                <w:rFonts w:ascii="Montserrat" w:hAnsi="Montserrat" w:cs="Calibri"/>
                <w:b/>
                <w:bCs/>
                <w:color w:val="000000"/>
                <w:sz w:val="21"/>
                <w:szCs w:val="21"/>
              </w:rPr>
              <w:t>TOTAL</w:t>
            </w:r>
          </w:p>
        </w:tc>
        <w:tc>
          <w:tcPr>
            <w:tcW w:w="3039" w:type="dxa"/>
            <w:vAlign w:val="center"/>
            <w:hideMark/>
          </w:tcPr>
          <w:p w14:paraId="4B40443E" w14:textId="6FAF5C75" w:rsidR="003234FF" w:rsidRPr="00E859AF" w:rsidRDefault="003234FF" w:rsidP="003234FF">
            <w:pPr>
              <w:rPr>
                <w:rFonts w:ascii="Montserrat" w:eastAsia="Times New Roman" w:hAnsi="Montserrat" w:cs="Arial"/>
                <w:b/>
                <w:bCs/>
                <w:sz w:val="21"/>
                <w:szCs w:val="21"/>
              </w:rPr>
            </w:pPr>
            <w:r w:rsidRPr="00E859AF">
              <w:rPr>
                <w:rFonts w:ascii="Montserrat" w:hAnsi="Montserrat" w:cs="Calibri"/>
                <w:b/>
                <w:bCs/>
                <w:color w:val="000000"/>
                <w:sz w:val="21"/>
                <w:szCs w:val="21"/>
              </w:rPr>
              <w:t> </w:t>
            </w:r>
          </w:p>
        </w:tc>
        <w:tc>
          <w:tcPr>
            <w:tcW w:w="2268" w:type="dxa"/>
            <w:vAlign w:val="center"/>
            <w:hideMark/>
          </w:tcPr>
          <w:p w14:paraId="7B86DB5B" w14:textId="4572BEE3" w:rsidR="003234FF" w:rsidRPr="00E859AF" w:rsidRDefault="003234FF" w:rsidP="003234FF">
            <w:pPr>
              <w:rPr>
                <w:rFonts w:ascii="Montserrat" w:eastAsia="Times New Roman" w:hAnsi="Montserrat" w:cs="Arial"/>
                <w:b/>
                <w:bCs/>
                <w:sz w:val="21"/>
                <w:szCs w:val="21"/>
              </w:rPr>
            </w:pPr>
            <w:r w:rsidRPr="00E859AF">
              <w:rPr>
                <w:rFonts w:ascii="Montserrat" w:hAnsi="Montserrat" w:cs="Calibri"/>
                <w:b/>
                <w:bCs/>
                <w:color w:val="000000"/>
                <w:sz w:val="21"/>
                <w:szCs w:val="21"/>
              </w:rPr>
              <w:t> </w:t>
            </w:r>
          </w:p>
        </w:tc>
        <w:tc>
          <w:tcPr>
            <w:tcW w:w="1984" w:type="dxa"/>
            <w:noWrap/>
            <w:vAlign w:val="center"/>
            <w:hideMark/>
          </w:tcPr>
          <w:p w14:paraId="7F9A3448" w14:textId="6CD29423" w:rsidR="003234FF" w:rsidRPr="00E859AF" w:rsidRDefault="003234FF" w:rsidP="003234FF">
            <w:pPr>
              <w:jc w:val="right"/>
              <w:rPr>
                <w:rFonts w:ascii="Montserrat" w:hAnsi="Montserrat" w:cs="Calibri"/>
                <w:b/>
                <w:bCs/>
                <w:color w:val="000000"/>
                <w:sz w:val="21"/>
                <w:szCs w:val="21"/>
              </w:rPr>
            </w:pPr>
            <w:r w:rsidRPr="00E859AF">
              <w:rPr>
                <w:rFonts w:ascii="Montserrat" w:hAnsi="Montserrat" w:cs="Calibri"/>
                <w:b/>
                <w:bCs/>
                <w:color w:val="000000"/>
                <w:sz w:val="21"/>
                <w:szCs w:val="21"/>
              </w:rPr>
              <w:t>1,132,358,072.47</w:t>
            </w:r>
          </w:p>
        </w:tc>
      </w:tr>
    </w:tbl>
    <w:p w14:paraId="7DCBE51D" w14:textId="77777777" w:rsidR="00B0059B" w:rsidRPr="00726BD5" w:rsidRDefault="00B0059B" w:rsidP="00B0059B">
      <w:pPr>
        <w:rPr>
          <w:rFonts w:ascii="Montserrat" w:eastAsia="Times New Roman" w:hAnsi="Montserrat" w:cs="Arial"/>
        </w:rPr>
      </w:pPr>
    </w:p>
    <w:p w14:paraId="5D0B78D1" w14:textId="77777777" w:rsidR="0087084D" w:rsidRPr="00726BD5" w:rsidRDefault="0087084D" w:rsidP="0087084D">
      <w:pPr>
        <w:rPr>
          <w:rFonts w:ascii="Montserrat" w:eastAsia="Times New Roman" w:hAnsi="Montserrat" w:cs="Arial"/>
        </w:rPr>
      </w:pPr>
    </w:p>
    <w:p w14:paraId="12218DDD" w14:textId="3C5EBF02" w:rsidR="00B0059B" w:rsidRPr="00726BD5" w:rsidRDefault="00B0059B" w:rsidP="0087084D">
      <w:pPr>
        <w:rPr>
          <w:rFonts w:ascii="Montserrat" w:hAnsi="Montserrat"/>
          <w:b/>
        </w:rPr>
      </w:pPr>
      <w:r w:rsidRPr="00726BD5">
        <w:rPr>
          <w:rFonts w:ascii="Montserrat" w:hAnsi="Montserrat"/>
          <w:b/>
        </w:rPr>
        <w:t>Reporte de recaudación</w:t>
      </w:r>
    </w:p>
    <w:p w14:paraId="69221DAF" w14:textId="77777777" w:rsidR="0087084D" w:rsidRPr="00726BD5" w:rsidRDefault="0087084D" w:rsidP="0087084D">
      <w:pPr>
        <w:rPr>
          <w:rFonts w:ascii="Montserrat" w:hAnsi="Montserrat"/>
          <w:b/>
        </w:rPr>
      </w:pPr>
    </w:p>
    <w:p w14:paraId="4628ED00" w14:textId="36489F87" w:rsidR="00D70A3F" w:rsidRPr="00726BD5" w:rsidRDefault="00D70A3F" w:rsidP="0087084D">
      <w:pPr>
        <w:ind w:left="360"/>
        <w:jc w:val="both"/>
        <w:rPr>
          <w:rFonts w:ascii="Montserrat" w:hAnsi="Montserrat" w:cs="Arial"/>
        </w:rPr>
      </w:pPr>
      <w:r w:rsidRPr="00726BD5">
        <w:rPr>
          <w:rFonts w:ascii="Montserrat" w:hAnsi="Montserrat" w:cs="Arial"/>
        </w:rPr>
        <w:t xml:space="preserve">Acciones de Fiscalización, Resultados del Periodo Enero – </w:t>
      </w:r>
      <w:r w:rsidR="00C3129B" w:rsidRPr="00726BD5">
        <w:rPr>
          <w:rFonts w:ascii="Montserrat" w:hAnsi="Montserrat" w:cs="Arial"/>
        </w:rPr>
        <w:t>Junio</w:t>
      </w:r>
      <w:r w:rsidR="0038477A" w:rsidRPr="00726BD5">
        <w:rPr>
          <w:rFonts w:ascii="Montserrat" w:hAnsi="Montserrat" w:cs="Arial"/>
        </w:rPr>
        <w:t xml:space="preserve"> </w:t>
      </w:r>
      <w:r w:rsidRPr="00726BD5">
        <w:rPr>
          <w:rFonts w:ascii="Montserrat" w:hAnsi="Montserrat" w:cs="Arial"/>
        </w:rPr>
        <w:t>de 202</w:t>
      </w:r>
      <w:r w:rsidR="0087084D" w:rsidRPr="00726BD5">
        <w:rPr>
          <w:rFonts w:ascii="Montserrat" w:hAnsi="Montserrat" w:cs="Arial"/>
        </w:rPr>
        <w:t>5</w:t>
      </w:r>
      <w:r w:rsidRPr="00726BD5">
        <w:rPr>
          <w:rFonts w:ascii="Montserrat" w:hAnsi="Montserrat" w:cs="Arial"/>
        </w:rPr>
        <w:t>.</w:t>
      </w:r>
    </w:p>
    <w:p w14:paraId="6987B069" w14:textId="77777777" w:rsidR="007B5ADF" w:rsidRPr="00726BD5" w:rsidRDefault="007B5ADF" w:rsidP="00D70A3F">
      <w:pPr>
        <w:jc w:val="both"/>
        <w:rPr>
          <w:rFonts w:ascii="Montserrat" w:hAnsi="Montserrat" w:cs="Arial"/>
          <w:b/>
          <w:kern w:val="2"/>
          <w:lang w:eastAsia="en-US"/>
        </w:rPr>
      </w:pPr>
    </w:p>
    <w:p w14:paraId="248530B0" w14:textId="0078AB96" w:rsidR="003237FF" w:rsidRPr="00726BD5" w:rsidRDefault="003237FF" w:rsidP="0087084D">
      <w:pPr>
        <w:rPr>
          <w:rFonts w:ascii="Montserrat" w:hAnsi="Montserrat"/>
          <w:b/>
        </w:rPr>
      </w:pPr>
      <w:r w:rsidRPr="00726BD5">
        <w:rPr>
          <w:rFonts w:ascii="Montserrat" w:hAnsi="Montserrat"/>
          <w:b/>
        </w:rPr>
        <w:t>IMPUESTOS FEDERALES</w:t>
      </w:r>
    </w:p>
    <w:p w14:paraId="3B8C9A9C" w14:textId="5F213156" w:rsidR="003237FF" w:rsidRPr="00726BD5" w:rsidRDefault="006C7F29" w:rsidP="006C7F29">
      <w:pPr>
        <w:tabs>
          <w:tab w:val="left" w:pos="1838"/>
        </w:tabs>
        <w:jc w:val="both"/>
        <w:rPr>
          <w:rFonts w:ascii="Montserrat" w:hAnsi="Montserrat" w:cs="Arial"/>
          <w:b/>
          <w:kern w:val="2"/>
          <w:lang w:eastAsia="en-US"/>
        </w:rPr>
      </w:pPr>
      <w:r w:rsidRPr="00726BD5">
        <w:rPr>
          <w:rFonts w:ascii="Montserrat" w:hAnsi="Montserrat" w:cs="Arial"/>
          <w:b/>
          <w:kern w:val="2"/>
          <w:lang w:eastAsia="en-US"/>
        </w:rPr>
        <w:tab/>
      </w:r>
    </w:p>
    <w:p w14:paraId="5115B829" w14:textId="77777777" w:rsidR="00E859AF" w:rsidRDefault="00E859AF">
      <w:pPr>
        <w:rPr>
          <w:rFonts w:ascii="Montserrat" w:hAnsi="Montserrat"/>
          <w:b/>
        </w:rPr>
      </w:pPr>
      <w:r>
        <w:rPr>
          <w:rFonts w:ascii="Montserrat" w:hAnsi="Montserrat"/>
          <w:b/>
        </w:rPr>
        <w:br w:type="page"/>
      </w:r>
    </w:p>
    <w:p w14:paraId="4154B1AE" w14:textId="77777777" w:rsidR="00E859AF" w:rsidRDefault="00E859AF" w:rsidP="0087084D">
      <w:pPr>
        <w:rPr>
          <w:rFonts w:ascii="Montserrat" w:hAnsi="Montserrat"/>
          <w:b/>
        </w:rPr>
      </w:pPr>
    </w:p>
    <w:p w14:paraId="695BD2E7" w14:textId="4946EF3C" w:rsidR="003237FF" w:rsidRPr="00726BD5" w:rsidRDefault="003237FF" w:rsidP="0087084D">
      <w:pPr>
        <w:rPr>
          <w:rFonts w:ascii="Montserrat" w:hAnsi="Montserrat"/>
          <w:b/>
        </w:rPr>
      </w:pPr>
      <w:r w:rsidRPr="00726BD5">
        <w:rPr>
          <w:rFonts w:ascii="Montserrat" w:hAnsi="Montserrat"/>
          <w:b/>
        </w:rPr>
        <w:t>ACTOS DE FISCALIZACIÓN</w:t>
      </w:r>
    </w:p>
    <w:p w14:paraId="24A9A702" w14:textId="77777777" w:rsidR="003237FF" w:rsidRPr="00726BD5" w:rsidRDefault="003237FF" w:rsidP="003234FF">
      <w:pPr>
        <w:ind w:left="360"/>
        <w:jc w:val="both"/>
        <w:rPr>
          <w:rFonts w:ascii="Montserrat" w:hAnsi="Montserrat" w:cs="Arial"/>
        </w:rPr>
      </w:pPr>
    </w:p>
    <w:p w14:paraId="014CC491" w14:textId="055A78B1" w:rsidR="0087084D" w:rsidRPr="00726BD5" w:rsidRDefault="003234FF" w:rsidP="003234FF">
      <w:pPr>
        <w:ind w:left="360"/>
        <w:jc w:val="both"/>
        <w:rPr>
          <w:rFonts w:ascii="Montserrat" w:hAnsi="Montserrat" w:cs="Arial"/>
        </w:rPr>
      </w:pPr>
      <w:r w:rsidRPr="00726BD5">
        <w:rPr>
          <w:rFonts w:ascii="Montserrat" w:hAnsi="Montserrat" w:cs="Arial"/>
        </w:rPr>
        <w:t>Dentro de las atribuciones a cargo de la Secretaría de Finanzas, relacionadas con la verificación del cumplimiento de las obligaciones fiscales de los contribuyentes, la Dirección de Auditoría e Inspección Fiscal durante el periodo de enero a junio de 2025 concluyó 327 actos de fiscalización en materia de impuestos federales, cabe señalar que de acuerdo a la concertación del Programa Operativo Anual 2025 se tiene una meta anual de 389 actos, lográndose al segundo trimestre un avance del 84.06 % respecto a dicha meta.</w:t>
      </w:r>
    </w:p>
    <w:p w14:paraId="4F51233C" w14:textId="77777777" w:rsidR="003234FF" w:rsidRPr="00726BD5" w:rsidRDefault="003234FF" w:rsidP="003234FF">
      <w:pPr>
        <w:ind w:left="360"/>
        <w:jc w:val="both"/>
        <w:rPr>
          <w:rFonts w:ascii="Montserrat" w:hAnsi="Montserrat" w:cs="Arial"/>
        </w:rPr>
      </w:pPr>
    </w:p>
    <w:p w14:paraId="23030A54" w14:textId="46B00159" w:rsidR="003234FF" w:rsidRPr="00726BD5" w:rsidRDefault="003234FF" w:rsidP="003234FF">
      <w:pPr>
        <w:ind w:left="360"/>
        <w:jc w:val="both"/>
        <w:rPr>
          <w:rFonts w:ascii="Montserrat" w:hAnsi="Montserrat" w:cs="Arial"/>
        </w:rPr>
      </w:pPr>
      <w:r w:rsidRPr="00726BD5">
        <w:rPr>
          <w:rFonts w:ascii="Montserrat" w:hAnsi="Montserrat"/>
          <w:noProof/>
        </w:rPr>
        <w:drawing>
          <wp:inline distT="0" distB="0" distL="0" distR="0" wp14:anchorId="69307C16" wp14:editId="04154026">
            <wp:extent cx="5214853" cy="1901172"/>
            <wp:effectExtent l="0" t="0" r="5080" b="4445"/>
            <wp:docPr id="10055074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5874" cy="1908835"/>
                    </a:xfrm>
                    <a:prstGeom prst="rect">
                      <a:avLst/>
                    </a:prstGeom>
                    <a:noFill/>
                    <a:ln>
                      <a:noFill/>
                    </a:ln>
                  </pic:spPr>
                </pic:pic>
              </a:graphicData>
            </a:graphic>
          </wp:inline>
        </w:drawing>
      </w:r>
    </w:p>
    <w:p w14:paraId="791DB27C" w14:textId="77777777" w:rsidR="0087084D" w:rsidRPr="00726BD5" w:rsidRDefault="0087084D" w:rsidP="0087084D">
      <w:pPr>
        <w:jc w:val="both"/>
        <w:rPr>
          <w:rFonts w:ascii="Montserrat" w:hAnsi="Montserrat" w:cs="Arial"/>
          <w:kern w:val="2"/>
          <w:lang w:eastAsia="en-US"/>
        </w:rPr>
      </w:pPr>
    </w:p>
    <w:p w14:paraId="69769237" w14:textId="77777777" w:rsidR="0087084D" w:rsidRPr="00726BD5" w:rsidRDefault="0087084D" w:rsidP="0087084D">
      <w:pPr>
        <w:jc w:val="center"/>
        <w:rPr>
          <w:rFonts w:ascii="Montserrat" w:hAnsi="Montserrat" w:cs="Arial"/>
          <w:kern w:val="2"/>
          <w:lang w:eastAsia="en-US"/>
        </w:rPr>
      </w:pPr>
    </w:p>
    <w:p w14:paraId="04D4481D" w14:textId="3A566B6E" w:rsidR="0087084D" w:rsidRPr="00726BD5" w:rsidRDefault="0087084D" w:rsidP="0087084D">
      <w:pPr>
        <w:rPr>
          <w:rFonts w:ascii="Montserrat" w:hAnsi="Montserrat"/>
          <w:b/>
        </w:rPr>
      </w:pPr>
      <w:r w:rsidRPr="00726BD5">
        <w:rPr>
          <w:rFonts w:ascii="Montserrat" w:hAnsi="Montserrat"/>
          <w:b/>
        </w:rPr>
        <w:t>ACTOS DE EJEMPLARIDAD</w:t>
      </w:r>
    </w:p>
    <w:p w14:paraId="5EDF24E0" w14:textId="77777777" w:rsidR="0087084D" w:rsidRPr="00726BD5" w:rsidRDefault="0087084D" w:rsidP="0087084D">
      <w:pPr>
        <w:ind w:left="360"/>
        <w:contextualSpacing/>
        <w:jc w:val="both"/>
        <w:rPr>
          <w:rFonts w:ascii="Montserrat" w:hAnsi="Montserrat" w:cs="Arial"/>
        </w:rPr>
      </w:pPr>
    </w:p>
    <w:p w14:paraId="164E98A2" w14:textId="77777777" w:rsidR="003234FF" w:rsidRPr="00726BD5" w:rsidRDefault="003234FF" w:rsidP="0087084D">
      <w:pPr>
        <w:ind w:left="360"/>
        <w:jc w:val="both"/>
        <w:rPr>
          <w:rFonts w:ascii="Montserrat" w:hAnsi="Montserrat" w:cs="Arial"/>
        </w:rPr>
      </w:pPr>
      <w:r w:rsidRPr="00726BD5">
        <w:rPr>
          <w:rFonts w:ascii="Montserrat" w:hAnsi="Montserrat" w:cs="Arial"/>
        </w:rPr>
        <w:t>Con la finalidad de incrementar la percepción de riesgo en los contribuyentes incumplidos, se han llevado a cabo 6 acciones de ejemplaridad para combatir las prácticas  indebidas,  buscando con ello el fortalecimiento de las finanzas públicas, propiciando una leal competencia y evitando de esta manera la propagación de delitos fiscales; en este sentido, la meta concertada en el Programa Operativo Anual 2025 es de 14 acciones, lográndose al segundo trimestre un avance del 42.85 % respecto a dicha meta.</w:t>
      </w:r>
    </w:p>
    <w:p w14:paraId="319682E3" w14:textId="59AE7F18" w:rsidR="0087084D" w:rsidRPr="00726BD5" w:rsidRDefault="0087084D" w:rsidP="0087084D">
      <w:pPr>
        <w:ind w:left="360"/>
        <w:jc w:val="both"/>
        <w:rPr>
          <w:rFonts w:ascii="Montserrat" w:hAnsi="Montserrat" w:cs="Arial"/>
        </w:rPr>
      </w:pPr>
      <w:r w:rsidRPr="00726BD5">
        <w:rPr>
          <w:rFonts w:ascii="Montserrat" w:hAnsi="Montserrat" w:cs="Arial"/>
        </w:rPr>
        <w:tab/>
      </w:r>
    </w:p>
    <w:p w14:paraId="76280C50" w14:textId="613FB50F" w:rsidR="0087084D" w:rsidRPr="00726BD5" w:rsidRDefault="003234FF" w:rsidP="003234FF">
      <w:pPr>
        <w:spacing w:after="200" w:line="276" w:lineRule="auto"/>
        <w:contextualSpacing/>
        <w:jc w:val="center"/>
        <w:rPr>
          <w:rFonts w:ascii="Montserrat" w:hAnsi="Montserrat"/>
          <w:noProof/>
          <w:lang w:val="es-MX"/>
        </w:rPr>
      </w:pPr>
      <w:r w:rsidRPr="00726BD5">
        <w:rPr>
          <w:rFonts w:ascii="Montserrat" w:hAnsi="Montserrat"/>
          <w:noProof/>
        </w:rPr>
        <w:lastRenderedPageBreak/>
        <w:drawing>
          <wp:inline distT="0" distB="0" distL="0" distR="0" wp14:anchorId="6411E693" wp14:editId="61D08340">
            <wp:extent cx="5048250" cy="2095500"/>
            <wp:effectExtent l="0" t="0" r="0" b="0"/>
            <wp:docPr id="12635522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5048250" cy="2095500"/>
                    </a:xfrm>
                    <a:prstGeom prst="rect">
                      <a:avLst/>
                    </a:prstGeom>
                    <a:noFill/>
                    <a:ln>
                      <a:noFill/>
                    </a:ln>
                  </pic:spPr>
                </pic:pic>
              </a:graphicData>
            </a:graphic>
          </wp:inline>
        </w:drawing>
      </w:r>
    </w:p>
    <w:p w14:paraId="796D4EB2" w14:textId="50723758" w:rsidR="0087084D" w:rsidRPr="00726BD5" w:rsidRDefault="0087084D" w:rsidP="0087084D">
      <w:pPr>
        <w:spacing w:after="200" w:line="276" w:lineRule="auto"/>
        <w:contextualSpacing/>
        <w:jc w:val="center"/>
        <w:rPr>
          <w:rFonts w:ascii="Montserrat" w:hAnsi="Montserrat"/>
          <w:noProof/>
          <w:lang w:val="es-MX"/>
        </w:rPr>
      </w:pPr>
    </w:p>
    <w:p w14:paraId="18904480" w14:textId="2A58A155" w:rsidR="0087084D" w:rsidRPr="00726BD5" w:rsidRDefault="0087084D" w:rsidP="0087084D">
      <w:pPr>
        <w:rPr>
          <w:rFonts w:ascii="Montserrat" w:hAnsi="Montserrat"/>
          <w:b/>
        </w:rPr>
      </w:pPr>
    </w:p>
    <w:p w14:paraId="71A0A110" w14:textId="2CF34BA8" w:rsidR="0087084D" w:rsidRPr="00726BD5" w:rsidRDefault="0087084D" w:rsidP="0087084D">
      <w:pPr>
        <w:rPr>
          <w:rFonts w:ascii="Montserrat" w:hAnsi="Montserrat"/>
          <w:b/>
        </w:rPr>
      </w:pPr>
      <w:r w:rsidRPr="00726BD5">
        <w:rPr>
          <w:rFonts w:ascii="Montserrat" w:hAnsi="Montserrat"/>
          <w:b/>
        </w:rPr>
        <w:t>CIFRAS COBRADAS Y VIRTUALES DEL PROGRAMA OPERATIVO ANUAL FEDERAL</w:t>
      </w:r>
    </w:p>
    <w:p w14:paraId="3A4FD65A" w14:textId="77777777" w:rsidR="0087084D" w:rsidRPr="00726BD5" w:rsidRDefault="0087084D" w:rsidP="003234FF">
      <w:pPr>
        <w:ind w:left="360"/>
        <w:jc w:val="both"/>
        <w:rPr>
          <w:rFonts w:ascii="Montserrat" w:hAnsi="Montserrat" w:cs="Arial"/>
        </w:rPr>
      </w:pPr>
    </w:p>
    <w:p w14:paraId="40AD973C" w14:textId="074F3504" w:rsidR="0087084D" w:rsidRPr="00726BD5" w:rsidRDefault="003234FF" w:rsidP="003234FF">
      <w:pPr>
        <w:ind w:left="360"/>
        <w:jc w:val="both"/>
        <w:rPr>
          <w:rFonts w:ascii="Montserrat" w:hAnsi="Montserrat" w:cs="Arial"/>
        </w:rPr>
      </w:pPr>
      <w:r w:rsidRPr="00726BD5">
        <w:rPr>
          <w:rFonts w:ascii="Montserrat" w:hAnsi="Montserrat" w:cs="Arial"/>
        </w:rPr>
        <w:t>Con la finalidad de promover la eficiencia de la función de fiscalización, así como para lograr una cobertura más uniforme con el universo de contribuyentes, a través del Programa Operativo Anual, se concertó una meta recaudatoria para el ejercicio 2025, obteniéndose al mes de junio los siguientes avances:</w:t>
      </w:r>
    </w:p>
    <w:p w14:paraId="5E8FAC31" w14:textId="77777777" w:rsidR="0087084D" w:rsidRPr="00726BD5" w:rsidRDefault="0087084D" w:rsidP="0087084D">
      <w:pPr>
        <w:ind w:left="284"/>
        <w:jc w:val="both"/>
        <w:rPr>
          <w:rFonts w:ascii="Montserrat" w:eastAsia="MS Mincho" w:hAnsi="Montserrat"/>
        </w:rPr>
      </w:pPr>
      <w:r w:rsidRPr="00726BD5">
        <w:rPr>
          <w:rFonts w:ascii="Montserrat" w:eastAsia="Arial Unicode MS" w:hAnsi="Montserrat" w:cs="Times New Roman"/>
          <w:lang w:val="es-MX"/>
        </w:rPr>
        <w:fldChar w:fldCharType="begin"/>
      </w:r>
      <w:r w:rsidRPr="00726BD5">
        <w:rPr>
          <w:rFonts w:ascii="Montserrat" w:eastAsia="Arial Unicode MS" w:hAnsi="Montserrat"/>
          <w:lang w:val="es-MX"/>
        </w:rPr>
        <w:instrText xml:space="preserve"> LINK Excel.Sheet.12 "C:\\Users\\ARAGON\\Desktop\\2025\\Trimestral 2025\\graficos- 1er Trimestre 2025.xlsx" auditoria!F34C4:F36C7 \a \f 4 \h  \* MERGEFORMAT </w:instrText>
      </w:r>
      <w:r w:rsidRPr="00726BD5">
        <w:rPr>
          <w:rFonts w:ascii="Montserrat" w:eastAsia="Arial Unicode MS" w:hAnsi="Montserrat" w:cs="Times New Roman"/>
          <w:lang w:val="es-MX"/>
        </w:rPr>
        <w:fldChar w:fldCharType="separate"/>
      </w:r>
    </w:p>
    <w:tbl>
      <w:tblPr>
        <w:tblW w:w="8820" w:type="dxa"/>
        <w:jc w:val="center"/>
        <w:tblCellMar>
          <w:left w:w="70" w:type="dxa"/>
          <w:right w:w="70" w:type="dxa"/>
        </w:tblCellMar>
        <w:tblLook w:val="04A0" w:firstRow="1" w:lastRow="0" w:firstColumn="1" w:lastColumn="0" w:noHBand="0" w:noVBand="1"/>
      </w:tblPr>
      <w:tblGrid>
        <w:gridCol w:w="1980"/>
        <w:gridCol w:w="1980"/>
        <w:gridCol w:w="2880"/>
        <w:gridCol w:w="1980"/>
      </w:tblGrid>
      <w:tr w:rsidR="0087084D" w:rsidRPr="00726BD5" w14:paraId="6B038FF3" w14:textId="77777777" w:rsidTr="00D12691">
        <w:trPr>
          <w:trHeight w:val="630"/>
          <w:jc w:val="center"/>
        </w:trPr>
        <w:tc>
          <w:tcPr>
            <w:tcW w:w="1980" w:type="dxa"/>
            <w:tcBorders>
              <w:top w:val="single" w:sz="4" w:space="0" w:color="DA9694"/>
              <w:left w:val="single" w:sz="4" w:space="0" w:color="DA9694"/>
              <w:bottom w:val="single" w:sz="4" w:space="0" w:color="DA9694"/>
              <w:right w:val="nil"/>
            </w:tcBorders>
            <w:shd w:val="clear" w:color="000000" w:fill="C0504D"/>
            <w:vAlign w:val="center"/>
            <w:hideMark/>
          </w:tcPr>
          <w:p w14:paraId="48CDB402" w14:textId="77777777" w:rsidR="0087084D" w:rsidRPr="00726BD5" w:rsidRDefault="0087084D" w:rsidP="00D12691">
            <w:pPr>
              <w:jc w:val="center"/>
              <w:rPr>
                <w:rFonts w:ascii="Montserrat" w:hAnsi="Montserrat" w:cs="Arial"/>
                <w:b/>
                <w:bCs/>
                <w:color w:val="FFFFFF"/>
                <w:lang w:val="es-MX"/>
              </w:rPr>
            </w:pPr>
            <w:r w:rsidRPr="00726BD5">
              <w:rPr>
                <w:rFonts w:ascii="Montserrat" w:hAnsi="Montserrat" w:cs="Arial"/>
                <w:b/>
                <w:bCs/>
                <w:color w:val="FFFFFF"/>
                <w:lang w:val="es-MX"/>
              </w:rPr>
              <w:t>CONCEPTO</w:t>
            </w:r>
          </w:p>
        </w:tc>
        <w:tc>
          <w:tcPr>
            <w:tcW w:w="1980" w:type="dxa"/>
            <w:tcBorders>
              <w:top w:val="single" w:sz="4" w:space="0" w:color="DA9694"/>
              <w:left w:val="nil"/>
              <w:bottom w:val="single" w:sz="4" w:space="0" w:color="DA9694"/>
              <w:right w:val="nil"/>
            </w:tcBorders>
            <w:shd w:val="clear" w:color="000000" w:fill="C0504D"/>
            <w:vAlign w:val="center"/>
            <w:hideMark/>
          </w:tcPr>
          <w:p w14:paraId="167F9343" w14:textId="77777777" w:rsidR="0087084D" w:rsidRPr="00726BD5" w:rsidRDefault="0087084D" w:rsidP="00D12691">
            <w:pPr>
              <w:jc w:val="center"/>
              <w:rPr>
                <w:rFonts w:ascii="Montserrat" w:hAnsi="Montserrat" w:cs="Arial"/>
                <w:b/>
                <w:bCs/>
                <w:color w:val="FFFFFF"/>
                <w:lang w:val="es-MX"/>
              </w:rPr>
            </w:pPr>
            <w:r w:rsidRPr="00726BD5">
              <w:rPr>
                <w:rFonts w:ascii="Montserrat" w:hAnsi="Montserrat" w:cs="Arial"/>
                <w:b/>
                <w:bCs/>
                <w:color w:val="FFFFFF"/>
                <w:lang w:val="es-MX"/>
              </w:rPr>
              <w:t>META ANUAL</w:t>
            </w:r>
          </w:p>
        </w:tc>
        <w:tc>
          <w:tcPr>
            <w:tcW w:w="2880" w:type="dxa"/>
            <w:tcBorders>
              <w:top w:val="single" w:sz="4" w:space="0" w:color="DA9694"/>
              <w:left w:val="nil"/>
              <w:bottom w:val="single" w:sz="4" w:space="0" w:color="DA9694"/>
              <w:right w:val="nil"/>
            </w:tcBorders>
            <w:shd w:val="clear" w:color="000000" w:fill="C0504D"/>
            <w:vAlign w:val="center"/>
            <w:hideMark/>
          </w:tcPr>
          <w:p w14:paraId="37411F59" w14:textId="77777777" w:rsidR="0087084D" w:rsidRPr="00726BD5" w:rsidRDefault="0087084D" w:rsidP="00D12691">
            <w:pPr>
              <w:jc w:val="center"/>
              <w:rPr>
                <w:rFonts w:ascii="Montserrat" w:hAnsi="Montserrat" w:cs="Arial"/>
                <w:b/>
                <w:bCs/>
                <w:color w:val="FFFFFF"/>
                <w:lang w:val="es-MX"/>
              </w:rPr>
            </w:pPr>
            <w:r w:rsidRPr="00726BD5">
              <w:rPr>
                <w:rFonts w:ascii="Montserrat" w:hAnsi="Montserrat" w:cs="Arial"/>
                <w:b/>
                <w:bCs/>
                <w:color w:val="FFFFFF"/>
                <w:lang w:val="es-MX"/>
              </w:rPr>
              <w:t xml:space="preserve">RECAUDADO          </w:t>
            </w:r>
            <w:r w:rsidRPr="00726BD5">
              <w:rPr>
                <w:rFonts w:ascii="Montserrat" w:hAnsi="Montserrat" w:cs="Arial"/>
                <w:b/>
                <w:bCs/>
                <w:color w:val="FFFFFF"/>
                <w:lang w:val="es-MX"/>
              </w:rPr>
              <w:br/>
              <w:t>(MILES DE PESOS)</w:t>
            </w:r>
          </w:p>
        </w:tc>
        <w:tc>
          <w:tcPr>
            <w:tcW w:w="1980" w:type="dxa"/>
            <w:tcBorders>
              <w:top w:val="single" w:sz="4" w:space="0" w:color="DA9694"/>
              <w:left w:val="nil"/>
              <w:bottom w:val="single" w:sz="4" w:space="0" w:color="DA9694"/>
              <w:right w:val="single" w:sz="4" w:space="0" w:color="DA9694"/>
            </w:tcBorders>
            <w:shd w:val="clear" w:color="000000" w:fill="C0504D"/>
            <w:vAlign w:val="center"/>
            <w:hideMark/>
          </w:tcPr>
          <w:p w14:paraId="585C610A" w14:textId="77777777" w:rsidR="0087084D" w:rsidRPr="00726BD5" w:rsidRDefault="0087084D" w:rsidP="00D12691">
            <w:pPr>
              <w:jc w:val="center"/>
              <w:rPr>
                <w:rFonts w:ascii="Montserrat" w:hAnsi="Montserrat" w:cs="Arial"/>
                <w:b/>
                <w:bCs/>
                <w:color w:val="FFFFFF"/>
                <w:lang w:val="es-MX"/>
              </w:rPr>
            </w:pPr>
            <w:r w:rsidRPr="00726BD5">
              <w:rPr>
                <w:rFonts w:ascii="Montserrat" w:hAnsi="Montserrat" w:cs="Arial"/>
                <w:b/>
                <w:bCs/>
                <w:color w:val="FFFFFF"/>
                <w:lang w:val="es-MX"/>
              </w:rPr>
              <w:t>AVANCE</w:t>
            </w:r>
          </w:p>
        </w:tc>
      </w:tr>
      <w:tr w:rsidR="003234FF" w:rsidRPr="00726BD5" w14:paraId="7D6B2AA9" w14:textId="77777777" w:rsidTr="003234FF">
        <w:trPr>
          <w:trHeight w:val="420"/>
          <w:jc w:val="center"/>
        </w:trPr>
        <w:tc>
          <w:tcPr>
            <w:tcW w:w="1980" w:type="dxa"/>
            <w:tcBorders>
              <w:top w:val="single" w:sz="4" w:space="0" w:color="DA9694"/>
              <w:left w:val="single" w:sz="4" w:space="0" w:color="DA9694"/>
              <w:bottom w:val="single" w:sz="4" w:space="0" w:color="DA9694"/>
              <w:right w:val="nil"/>
            </w:tcBorders>
            <w:shd w:val="clear" w:color="000000" w:fill="F2DBDB"/>
            <w:vAlign w:val="center"/>
            <w:hideMark/>
          </w:tcPr>
          <w:p w14:paraId="02B65CE2" w14:textId="26F9A472" w:rsidR="003234FF" w:rsidRPr="00726BD5" w:rsidRDefault="003234FF" w:rsidP="003234FF">
            <w:pPr>
              <w:rPr>
                <w:rFonts w:ascii="Montserrat" w:hAnsi="Montserrat" w:cs="Arial"/>
                <w:color w:val="000000"/>
                <w:lang w:val="es-MX"/>
              </w:rPr>
            </w:pPr>
            <w:r w:rsidRPr="00726BD5">
              <w:rPr>
                <w:rFonts w:ascii="Montserrat" w:hAnsi="Montserrat"/>
              </w:rPr>
              <w:t>Cifras Cobradas</w:t>
            </w:r>
          </w:p>
        </w:tc>
        <w:tc>
          <w:tcPr>
            <w:tcW w:w="1980" w:type="dxa"/>
            <w:tcBorders>
              <w:top w:val="single" w:sz="4" w:space="0" w:color="DA9694"/>
              <w:left w:val="nil"/>
              <w:bottom w:val="single" w:sz="4" w:space="0" w:color="DA9694"/>
              <w:right w:val="nil"/>
            </w:tcBorders>
            <w:shd w:val="clear" w:color="000000" w:fill="F2DBDB"/>
            <w:vAlign w:val="center"/>
            <w:hideMark/>
          </w:tcPr>
          <w:p w14:paraId="29160A77" w14:textId="2A412964" w:rsidR="003234FF" w:rsidRPr="00726BD5" w:rsidRDefault="003234FF" w:rsidP="003234FF">
            <w:pPr>
              <w:jc w:val="center"/>
              <w:rPr>
                <w:rFonts w:ascii="Montserrat" w:hAnsi="Montserrat" w:cs="Arial"/>
                <w:color w:val="000000"/>
                <w:lang w:val="es-MX"/>
              </w:rPr>
            </w:pPr>
            <w:r w:rsidRPr="00726BD5">
              <w:rPr>
                <w:rFonts w:ascii="Montserrat" w:hAnsi="Montserrat"/>
              </w:rPr>
              <w:t>$180,000</w:t>
            </w:r>
          </w:p>
        </w:tc>
        <w:tc>
          <w:tcPr>
            <w:tcW w:w="2880" w:type="dxa"/>
            <w:tcBorders>
              <w:top w:val="single" w:sz="4" w:space="0" w:color="DA9694"/>
              <w:left w:val="nil"/>
              <w:bottom w:val="single" w:sz="4" w:space="0" w:color="DA9694"/>
              <w:right w:val="nil"/>
            </w:tcBorders>
            <w:shd w:val="clear" w:color="000000" w:fill="F2DBDB"/>
            <w:vAlign w:val="center"/>
            <w:hideMark/>
          </w:tcPr>
          <w:p w14:paraId="4D9C5232" w14:textId="72E40F00" w:rsidR="003234FF" w:rsidRPr="00726BD5" w:rsidRDefault="003234FF" w:rsidP="003234FF">
            <w:pPr>
              <w:jc w:val="center"/>
              <w:rPr>
                <w:rFonts w:ascii="Montserrat" w:hAnsi="Montserrat" w:cs="Arial"/>
                <w:color w:val="000000"/>
                <w:lang w:val="es-MX"/>
              </w:rPr>
            </w:pPr>
            <w:r w:rsidRPr="00726BD5">
              <w:rPr>
                <w:rFonts w:ascii="Montserrat" w:hAnsi="Montserrat"/>
              </w:rPr>
              <w:t>$130,720</w:t>
            </w:r>
          </w:p>
        </w:tc>
        <w:tc>
          <w:tcPr>
            <w:tcW w:w="1980" w:type="dxa"/>
            <w:tcBorders>
              <w:top w:val="single" w:sz="4" w:space="0" w:color="DA9694"/>
              <w:left w:val="nil"/>
              <w:bottom w:val="single" w:sz="4" w:space="0" w:color="DA9694"/>
              <w:right w:val="single" w:sz="4" w:space="0" w:color="DA9694"/>
            </w:tcBorders>
            <w:shd w:val="clear" w:color="000000" w:fill="F2DBDB"/>
            <w:vAlign w:val="center"/>
            <w:hideMark/>
          </w:tcPr>
          <w:p w14:paraId="010A2647" w14:textId="20FEEE81" w:rsidR="003234FF" w:rsidRPr="00726BD5" w:rsidRDefault="003234FF" w:rsidP="003234FF">
            <w:pPr>
              <w:jc w:val="center"/>
              <w:rPr>
                <w:rFonts w:ascii="Montserrat" w:hAnsi="Montserrat" w:cs="Arial"/>
                <w:color w:val="000000"/>
                <w:lang w:val="es-MX"/>
              </w:rPr>
            </w:pPr>
            <w:r w:rsidRPr="00726BD5">
              <w:rPr>
                <w:rFonts w:ascii="Montserrat" w:hAnsi="Montserrat"/>
              </w:rPr>
              <w:t>72.62%</w:t>
            </w:r>
          </w:p>
        </w:tc>
      </w:tr>
      <w:tr w:rsidR="003234FF" w:rsidRPr="00726BD5" w14:paraId="5B7D325F" w14:textId="77777777" w:rsidTr="003234FF">
        <w:trPr>
          <w:trHeight w:val="420"/>
          <w:jc w:val="center"/>
        </w:trPr>
        <w:tc>
          <w:tcPr>
            <w:tcW w:w="1980" w:type="dxa"/>
            <w:tcBorders>
              <w:top w:val="single" w:sz="4" w:space="0" w:color="DA9694"/>
              <w:left w:val="single" w:sz="4" w:space="0" w:color="DA9694"/>
              <w:bottom w:val="single" w:sz="4" w:space="0" w:color="DA9694"/>
              <w:right w:val="nil"/>
            </w:tcBorders>
            <w:shd w:val="clear" w:color="auto" w:fill="auto"/>
            <w:vAlign w:val="center"/>
            <w:hideMark/>
          </w:tcPr>
          <w:p w14:paraId="1350906E" w14:textId="67E83479" w:rsidR="003234FF" w:rsidRPr="00726BD5" w:rsidRDefault="003234FF" w:rsidP="003234FF">
            <w:pPr>
              <w:rPr>
                <w:rFonts w:ascii="Montserrat" w:hAnsi="Montserrat" w:cs="Arial"/>
                <w:color w:val="000000"/>
                <w:lang w:val="es-MX"/>
              </w:rPr>
            </w:pPr>
            <w:r w:rsidRPr="00726BD5">
              <w:rPr>
                <w:rFonts w:ascii="Montserrat" w:hAnsi="Montserrat"/>
              </w:rPr>
              <w:t>Cifras Virtuales</w:t>
            </w:r>
          </w:p>
        </w:tc>
        <w:tc>
          <w:tcPr>
            <w:tcW w:w="1980" w:type="dxa"/>
            <w:tcBorders>
              <w:top w:val="single" w:sz="4" w:space="0" w:color="DA9694"/>
              <w:left w:val="nil"/>
              <w:bottom w:val="single" w:sz="4" w:space="0" w:color="DA9694"/>
              <w:right w:val="nil"/>
            </w:tcBorders>
            <w:shd w:val="clear" w:color="auto" w:fill="auto"/>
            <w:vAlign w:val="center"/>
            <w:hideMark/>
          </w:tcPr>
          <w:p w14:paraId="14C194B8" w14:textId="606E8F3E" w:rsidR="003234FF" w:rsidRPr="00726BD5" w:rsidRDefault="003234FF" w:rsidP="003234FF">
            <w:pPr>
              <w:jc w:val="center"/>
              <w:rPr>
                <w:rFonts w:ascii="Montserrat" w:hAnsi="Montserrat" w:cs="Arial"/>
                <w:color w:val="000000"/>
                <w:lang w:val="es-MX"/>
              </w:rPr>
            </w:pPr>
            <w:r w:rsidRPr="00726BD5">
              <w:rPr>
                <w:rFonts w:ascii="Montserrat" w:hAnsi="Montserrat"/>
              </w:rPr>
              <w:t>$69,000</w:t>
            </w:r>
          </w:p>
        </w:tc>
        <w:tc>
          <w:tcPr>
            <w:tcW w:w="2880" w:type="dxa"/>
            <w:tcBorders>
              <w:top w:val="single" w:sz="4" w:space="0" w:color="DA9694"/>
              <w:left w:val="nil"/>
              <w:bottom w:val="single" w:sz="4" w:space="0" w:color="DA9694"/>
              <w:right w:val="nil"/>
            </w:tcBorders>
            <w:shd w:val="clear" w:color="auto" w:fill="auto"/>
            <w:vAlign w:val="center"/>
            <w:hideMark/>
          </w:tcPr>
          <w:p w14:paraId="617318A1" w14:textId="4562FF7D" w:rsidR="003234FF" w:rsidRPr="00726BD5" w:rsidRDefault="003234FF" w:rsidP="003234FF">
            <w:pPr>
              <w:jc w:val="center"/>
              <w:rPr>
                <w:rFonts w:ascii="Montserrat" w:hAnsi="Montserrat" w:cs="Arial"/>
                <w:color w:val="000000"/>
                <w:lang w:val="es-MX"/>
              </w:rPr>
            </w:pPr>
            <w:r w:rsidRPr="00726BD5">
              <w:rPr>
                <w:rFonts w:ascii="Montserrat" w:hAnsi="Montserrat"/>
              </w:rPr>
              <w:t>$45,669</w:t>
            </w:r>
          </w:p>
        </w:tc>
        <w:tc>
          <w:tcPr>
            <w:tcW w:w="1980" w:type="dxa"/>
            <w:tcBorders>
              <w:top w:val="single" w:sz="4" w:space="0" w:color="DA9694"/>
              <w:left w:val="nil"/>
              <w:bottom w:val="single" w:sz="4" w:space="0" w:color="DA9694"/>
              <w:right w:val="single" w:sz="4" w:space="0" w:color="DA9694"/>
            </w:tcBorders>
            <w:shd w:val="clear" w:color="auto" w:fill="auto"/>
            <w:vAlign w:val="center"/>
            <w:hideMark/>
          </w:tcPr>
          <w:p w14:paraId="1784C4C3" w14:textId="773D85D5" w:rsidR="003234FF" w:rsidRPr="00726BD5" w:rsidRDefault="003234FF" w:rsidP="003234FF">
            <w:pPr>
              <w:jc w:val="center"/>
              <w:rPr>
                <w:rFonts w:ascii="Montserrat" w:hAnsi="Montserrat" w:cs="Arial"/>
                <w:color w:val="000000"/>
                <w:lang w:val="es-MX"/>
              </w:rPr>
            </w:pPr>
            <w:r w:rsidRPr="00726BD5">
              <w:rPr>
                <w:rFonts w:ascii="Montserrat" w:hAnsi="Montserrat"/>
              </w:rPr>
              <w:t>66.18%</w:t>
            </w:r>
          </w:p>
        </w:tc>
      </w:tr>
    </w:tbl>
    <w:p w14:paraId="6D0255ED" w14:textId="77777777" w:rsidR="0087084D" w:rsidRPr="00726BD5" w:rsidRDefault="0087084D" w:rsidP="0087084D">
      <w:pPr>
        <w:ind w:left="284"/>
        <w:jc w:val="both"/>
        <w:rPr>
          <w:rFonts w:ascii="Montserrat" w:eastAsia="Arial Unicode MS" w:hAnsi="Montserrat" w:cs="Arial"/>
          <w:b/>
          <w:lang w:val="es-MX"/>
        </w:rPr>
      </w:pPr>
      <w:r w:rsidRPr="00726BD5">
        <w:rPr>
          <w:rFonts w:ascii="Montserrat" w:eastAsia="Arial Unicode MS" w:hAnsi="Montserrat" w:cs="Arial"/>
          <w:b/>
          <w:lang w:val="es-MX"/>
        </w:rPr>
        <w:fldChar w:fldCharType="end"/>
      </w:r>
    </w:p>
    <w:p w14:paraId="0DA76920" w14:textId="77777777" w:rsidR="0087084D" w:rsidRPr="00726BD5" w:rsidRDefault="0087084D" w:rsidP="0087084D">
      <w:pPr>
        <w:jc w:val="both"/>
        <w:rPr>
          <w:rFonts w:ascii="Montserrat" w:hAnsi="Montserrat" w:cs="Arial"/>
          <w:b/>
          <w:kern w:val="2"/>
          <w:lang w:eastAsia="en-US"/>
        </w:rPr>
      </w:pPr>
    </w:p>
    <w:p w14:paraId="318CC77F" w14:textId="1C52ADF7" w:rsidR="0087084D" w:rsidRPr="00726BD5" w:rsidRDefault="0087084D" w:rsidP="0087084D">
      <w:pPr>
        <w:rPr>
          <w:rFonts w:ascii="Montserrat" w:hAnsi="Montserrat"/>
          <w:b/>
        </w:rPr>
      </w:pPr>
      <w:r w:rsidRPr="00726BD5">
        <w:rPr>
          <w:rFonts w:ascii="Montserrat" w:hAnsi="Montserrat"/>
          <w:b/>
        </w:rPr>
        <w:t>IMPUESTOS ESTATALES</w:t>
      </w:r>
    </w:p>
    <w:p w14:paraId="3D4519FB" w14:textId="77777777" w:rsidR="0087084D" w:rsidRPr="00726BD5" w:rsidRDefault="0087084D" w:rsidP="0087084D">
      <w:pPr>
        <w:rPr>
          <w:rFonts w:ascii="Montserrat" w:hAnsi="Montserrat"/>
          <w:b/>
        </w:rPr>
      </w:pPr>
    </w:p>
    <w:p w14:paraId="008385CA" w14:textId="2C330B4B" w:rsidR="0087084D" w:rsidRPr="00726BD5" w:rsidRDefault="0087084D" w:rsidP="0087084D">
      <w:pPr>
        <w:rPr>
          <w:rFonts w:ascii="Montserrat" w:hAnsi="Montserrat"/>
          <w:b/>
        </w:rPr>
      </w:pPr>
      <w:r w:rsidRPr="00726BD5">
        <w:rPr>
          <w:rFonts w:ascii="Montserrat" w:hAnsi="Montserrat"/>
          <w:b/>
        </w:rPr>
        <w:t>ACTOS DE FISCALIZACIÓN</w:t>
      </w:r>
    </w:p>
    <w:p w14:paraId="50B04C42" w14:textId="77777777" w:rsidR="0087084D" w:rsidRPr="00726BD5" w:rsidRDefault="0087084D" w:rsidP="0087084D">
      <w:pPr>
        <w:rPr>
          <w:rFonts w:ascii="Montserrat" w:hAnsi="Montserrat"/>
          <w:b/>
        </w:rPr>
      </w:pPr>
    </w:p>
    <w:p w14:paraId="166A55F5" w14:textId="06A8BB05" w:rsidR="0087084D" w:rsidRPr="00726BD5" w:rsidRDefault="003234FF" w:rsidP="0087084D">
      <w:pPr>
        <w:ind w:left="360"/>
        <w:jc w:val="both"/>
        <w:rPr>
          <w:rFonts w:ascii="Montserrat" w:hAnsi="Montserrat" w:cs="Arial"/>
          <w:kern w:val="2"/>
          <w:lang w:eastAsia="en-US"/>
        </w:rPr>
      </w:pPr>
      <w:r w:rsidRPr="00726BD5">
        <w:rPr>
          <w:rFonts w:ascii="Montserrat" w:hAnsi="Montserrat" w:cs="Arial"/>
          <w:kern w:val="2"/>
          <w:lang w:eastAsia="en-US"/>
        </w:rPr>
        <w:t xml:space="preserve">Derivado de las atribuciones a cargo de la Secretaría de Finanzas, relacionadas con la verificación del cumplimiento de las obligaciones fiscales de los contribuyentes, al segundo trimestre de 2025, se realizaron 143 acciones de fiscalización, buscando con ello incrementar la percepción de riesgo en los contribuyentes incumplidos, así como el fortalecimiento de las finanzas públicas motivado por el correcto pago </w:t>
      </w:r>
      <w:r w:rsidRPr="00726BD5">
        <w:rPr>
          <w:rFonts w:ascii="Montserrat" w:hAnsi="Montserrat" w:cs="Arial"/>
          <w:kern w:val="2"/>
          <w:lang w:eastAsia="en-US"/>
        </w:rPr>
        <w:lastRenderedPageBreak/>
        <w:t>de las contribuciones; cabe señalar que de acuerdo a la concertación del Programa Operativo Anual 2025 de impuestos estatales, se tiene una meta anual de 219 actos, lográndose al  segundo trimestre un avance del 65.29 % respecto a dicha meta.</w:t>
      </w:r>
    </w:p>
    <w:p w14:paraId="406E3F38" w14:textId="77777777" w:rsidR="004F3307" w:rsidRPr="00726BD5" w:rsidRDefault="004F3307" w:rsidP="0087084D">
      <w:pPr>
        <w:ind w:left="360"/>
        <w:jc w:val="both"/>
        <w:rPr>
          <w:rFonts w:ascii="Montserrat" w:hAnsi="Montserrat" w:cs="Arial"/>
          <w:kern w:val="2"/>
          <w:lang w:eastAsia="en-US"/>
        </w:rPr>
      </w:pPr>
    </w:p>
    <w:p w14:paraId="14AD3E47" w14:textId="553AD39A" w:rsidR="004F3307" w:rsidRPr="00726BD5" w:rsidRDefault="004F3307" w:rsidP="004F3307">
      <w:pPr>
        <w:ind w:left="360"/>
        <w:jc w:val="center"/>
        <w:rPr>
          <w:rFonts w:ascii="Montserrat" w:hAnsi="Montserrat" w:cs="Arial"/>
          <w:kern w:val="2"/>
          <w:lang w:eastAsia="en-US"/>
        </w:rPr>
      </w:pPr>
      <w:r w:rsidRPr="00726BD5">
        <w:rPr>
          <w:rFonts w:ascii="Montserrat" w:hAnsi="Montserrat"/>
          <w:noProof/>
        </w:rPr>
        <w:drawing>
          <wp:inline distT="0" distB="0" distL="0" distR="0" wp14:anchorId="4CD4A26C" wp14:editId="1467DD28">
            <wp:extent cx="5210175" cy="2228850"/>
            <wp:effectExtent l="0" t="0" r="9525" b="0"/>
            <wp:docPr id="20762049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2228850"/>
                    </a:xfrm>
                    <a:prstGeom prst="rect">
                      <a:avLst/>
                    </a:prstGeom>
                    <a:noFill/>
                    <a:ln>
                      <a:noFill/>
                    </a:ln>
                  </pic:spPr>
                </pic:pic>
              </a:graphicData>
            </a:graphic>
          </wp:inline>
        </w:drawing>
      </w:r>
    </w:p>
    <w:p w14:paraId="0870584C" w14:textId="77777777" w:rsidR="0087084D" w:rsidRPr="00726BD5" w:rsidRDefault="0087084D" w:rsidP="0087084D">
      <w:pPr>
        <w:spacing w:after="200" w:line="276" w:lineRule="auto"/>
        <w:contextualSpacing/>
        <w:jc w:val="both"/>
        <w:rPr>
          <w:rFonts w:ascii="Montserrat" w:hAnsi="Montserrat" w:cs="Arial"/>
          <w:b/>
          <w:kern w:val="2"/>
          <w:lang w:eastAsia="en-US"/>
        </w:rPr>
      </w:pPr>
    </w:p>
    <w:p w14:paraId="58F8093D" w14:textId="5F6E672C" w:rsidR="0087084D" w:rsidRPr="00726BD5" w:rsidRDefault="0087084D" w:rsidP="0087084D">
      <w:pPr>
        <w:rPr>
          <w:rFonts w:ascii="Montserrat" w:hAnsi="Montserrat"/>
          <w:b/>
        </w:rPr>
      </w:pPr>
      <w:r w:rsidRPr="00726BD5">
        <w:rPr>
          <w:rFonts w:ascii="Montserrat" w:hAnsi="Montserrat"/>
          <w:b/>
        </w:rPr>
        <w:t>CIFRAS COBRADAS PROGRAMA OPERATIVO ANUAL ESTATAL</w:t>
      </w:r>
    </w:p>
    <w:p w14:paraId="3E875AC0" w14:textId="77777777" w:rsidR="0087084D" w:rsidRPr="00726BD5" w:rsidRDefault="0087084D" w:rsidP="0087084D">
      <w:pPr>
        <w:spacing w:after="200" w:line="276" w:lineRule="auto"/>
        <w:contextualSpacing/>
        <w:jc w:val="both"/>
        <w:rPr>
          <w:rFonts w:ascii="Montserrat" w:hAnsi="Montserrat" w:cs="Arial"/>
          <w:kern w:val="2"/>
          <w:lang w:eastAsia="en-US"/>
        </w:rPr>
      </w:pPr>
    </w:p>
    <w:p w14:paraId="54B04737" w14:textId="631427B5" w:rsidR="0087084D" w:rsidRPr="00726BD5" w:rsidRDefault="004F3307" w:rsidP="0087084D">
      <w:pPr>
        <w:spacing w:after="200" w:line="276" w:lineRule="auto"/>
        <w:contextualSpacing/>
        <w:jc w:val="both"/>
        <w:rPr>
          <w:rFonts w:ascii="Montserrat" w:hAnsi="Montserrat" w:cs="Arial"/>
          <w:kern w:val="2"/>
          <w:lang w:eastAsia="en-US"/>
        </w:rPr>
      </w:pPr>
      <w:r w:rsidRPr="00726BD5">
        <w:rPr>
          <w:rFonts w:ascii="Montserrat" w:hAnsi="Montserrat" w:cs="Arial"/>
          <w:kern w:val="2"/>
          <w:lang w:eastAsia="en-US"/>
        </w:rPr>
        <w:t>A través del Programa Operativo Anual, se concertó una meta recaudatoria para el ejercicio 2025, obteniéndose al mes de junio los siguientes resultados:</w:t>
      </w:r>
    </w:p>
    <w:p w14:paraId="2C7EC9EB" w14:textId="77777777" w:rsidR="004F3307" w:rsidRPr="00726BD5" w:rsidRDefault="004F3307" w:rsidP="0087084D">
      <w:pPr>
        <w:spacing w:after="200" w:line="276" w:lineRule="auto"/>
        <w:contextualSpacing/>
        <w:jc w:val="both"/>
        <w:rPr>
          <w:rFonts w:ascii="Montserrat" w:hAnsi="Montserrat" w:cs="Arial"/>
          <w:kern w:val="2"/>
          <w:lang w:eastAsia="en-US"/>
        </w:rPr>
      </w:pPr>
    </w:p>
    <w:tbl>
      <w:tblPr>
        <w:tblW w:w="8440" w:type="dxa"/>
        <w:jc w:val="center"/>
        <w:tblCellMar>
          <w:left w:w="70" w:type="dxa"/>
          <w:right w:w="70" w:type="dxa"/>
        </w:tblCellMar>
        <w:tblLook w:val="04A0" w:firstRow="1" w:lastRow="0" w:firstColumn="1" w:lastColumn="0" w:noHBand="0" w:noVBand="1"/>
      </w:tblPr>
      <w:tblGrid>
        <w:gridCol w:w="1900"/>
        <w:gridCol w:w="1900"/>
        <w:gridCol w:w="2740"/>
        <w:gridCol w:w="1900"/>
      </w:tblGrid>
      <w:tr w:rsidR="0087084D" w:rsidRPr="00726BD5" w14:paraId="2B1ECD08" w14:textId="77777777" w:rsidTr="00D12691">
        <w:trPr>
          <w:trHeight w:val="630"/>
          <w:jc w:val="center"/>
        </w:trPr>
        <w:tc>
          <w:tcPr>
            <w:tcW w:w="1900" w:type="dxa"/>
            <w:tcBorders>
              <w:top w:val="single" w:sz="4" w:space="0" w:color="DA9694"/>
              <w:left w:val="single" w:sz="4" w:space="0" w:color="DA9694"/>
              <w:bottom w:val="single" w:sz="4" w:space="0" w:color="DA9694"/>
              <w:right w:val="nil"/>
            </w:tcBorders>
            <w:shd w:val="clear" w:color="000000" w:fill="C0504D"/>
            <w:vAlign w:val="center"/>
            <w:hideMark/>
          </w:tcPr>
          <w:p w14:paraId="09A8DAE1" w14:textId="77777777" w:rsidR="0087084D" w:rsidRPr="00726BD5" w:rsidRDefault="0087084D" w:rsidP="00D12691">
            <w:pPr>
              <w:jc w:val="both"/>
              <w:rPr>
                <w:rFonts w:ascii="Montserrat" w:hAnsi="Montserrat" w:cs="Arial"/>
                <w:b/>
                <w:bCs/>
                <w:color w:val="FFFFFF"/>
                <w:lang w:val="es-MX"/>
              </w:rPr>
            </w:pPr>
            <w:r w:rsidRPr="00726BD5">
              <w:rPr>
                <w:rFonts w:ascii="Montserrat" w:hAnsi="Montserrat" w:cs="Arial"/>
                <w:b/>
                <w:bCs/>
                <w:color w:val="FFFFFF"/>
                <w:lang w:val="es-MX"/>
              </w:rPr>
              <w:t>CONCEPTO</w:t>
            </w:r>
          </w:p>
        </w:tc>
        <w:tc>
          <w:tcPr>
            <w:tcW w:w="1900" w:type="dxa"/>
            <w:tcBorders>
              <w:top w:val="single" w:sz="4" w:space="0" w:color="DA9694"/>
              <w:left w:val="nil"/>
              <w:bottom w:val="single" w:sz="4" w:space="0" w:color="DA9694"/>
              <w:right w:val="nil"/>
            </w:tcBorders>
            <w:shd w:val="clear" w:color="000000" w:fill="C0504D"/>
            <w:vAlign w:val="center"/>
            <w:hideMark/>
          </w:tcPr>
          <w:p w14:paraId="2DE1B1AC" w14:textId="77777777" w:rsidR="0087084D" w:rsidRPr="00726BD5" w:rsidRDefault="0087084D" w:rsidP="00D12691">
            <w:pPr>
              <w:jc w:val="center"/>
              <w:rPr>
                <w:rFonts w:ascii="Montserrat" w:hAnsi="Montserrat" w:cs="Arial"/>
                <w:b/>
                <w:bCs/>
                <w:color w:val="FFFFFF"/>
                <w:lang w:val="es-MX"/>
              </w:rPr>
            </w:pPr>
            <w:r w:rsidRPr="00726BD5">
              <w:rPr>
                <w:rFonts w:ascii="Montserrat" w:hAnsi="Montserrat" w:cs="Arial"/>
                <w:b/>
                <w:bCs/>
                <w:color w:val="FFFFFF"/>
                <w:lang w:val="es-MX"/>
              </w:rPr>
              <w:t>META ANUAL (MILES DE PESOS)</w:t>
            </w:r>
          </w:p>
        </w:tc>
        <w:tc>
          <w:tcPr>
            <w:tcW w:w="2740" w:type="dxa"/>
            <w:tcBorders>
              <w:top w:val="single" w:sz="4" w:space="0" w:color="DA9694"/>
              <w:left w:val="nil"/>
              <w:bottom w:val="single" w:sz="4" w:space="0" w:color="DA9694"/>
              <w:right w:val="nil"/>
            </w:tcBorders>
            <w:shd w:val="clear" w:color="000000" w:fill="C0504D"/>
            <w:vAlign w:val="center"/>
            <w:hideMark/>
          </w:tcPr>
          <w:p w14:paraId="4669D559" w14:textId="77777777" w:rsidR="0087084D" w:rsidRPr="00726BD5" w:rsidRDefault="0087084D" w:rsidP="00D12691">
            <w:pPr>
              <w:jc w:val="center"/>
              <w:rPr>
                <w:rFonts w:ascii="Montserrat" w:hAnsi="Montserrat" w:cs="Arial"/>
                <w:b/>
                <w:bCs/>
                <w:color w:val="FFFFFF"/>
                <w:lang w:val="es-MX"/>
              </w:rPr>
            </w:pPr>
            <w:r w:rsidRPr="00726BD5">
              <w:rPr>
                <w:rFonts w:ascii="Montserrat" w:hAnsi="Montserrat" w:cs="Arial"/>
                <w:b/>
                <w:bCs/>
                <w:color w:val="FFFFFF"/>
                <w:lang w:val="es-MX"/>
              </w:rPr>
              <w:t xml:space="preserve">RECAUDADO          </w:t>
            </w:r>
            <w:r w:rsidRPr="00726BD5">
              <w:rPr>
                <w:rFonts w:ascii="Montserrat" w:hAnsi="Montserrat" w:cs="Arial"/>
                <w:b/>
                <w:bCs/>
                <w:color w:val="FFFFFF"/>
                <w:lang w:val="es-MX"/>
              </w:rPr>
              <w:br/>
              <w:t>(MILES DE PESOS)</w:t>
            </w:r>
          </w:p>
        </w:tc>
        <w:tc>
          <w:tcPr>
            <w:tcW w:w="1900" w:type="dxa"/>
            <w:tcBorders>
              <w:top w:val="single" w:sz="4" w:space="0" w:color="DA9694"/>
              <w:left w:val="nil"/>
              <w:bottom w:val="single" w:sz="4" w:space="0" w:color="DA9694"/>
              <w:right w:val="single" w:sz="4" w:space="0" w:color="DA9694"/>
            </w:tcBorders>
            <w:shd w:val="clear" w:color="000000" w:fill="C0504D"/>
            <w:vAlign w:val="center"/>
            <w:hideMark/>
          </w:tcPr>
          <w:p w14:paraId="652A8435" w14:textId="77777777" w:rsidR="0087084D" w:rsidRPr="00726BD5" w:rsidRDefault="0087084D" w:rsidP="00D12691">
            <w:pPr>
              <w:jc w:val="center"/>
              <w:rPr>
                <w:rFonts w:ascii="Montserrat" w:hAnsi="Montserrat" w:cs="Arial"/>
                <w:b/>
                <w:bCs/>
                <w:color w:val="FFFFFF"/>
                <w:lang w:val="es-MX"/>
              </w:rPr>
            </w:pPr>
            <w:r w:rsidRPr="00726BD5">
              <w:rPr>
                <w:rFonts w:ascii="Montserrat" w:hAnsi="Montserrat" w:cs="Arial"/>
                <w:b/>
                <w:bCs/>
                <w:color w:val="FFFFFF"/>
                <w:lang w:val="es-MX"/>
              </w:rPr>
              <w:t>AVANCE</w:t>
            </w:r>
          </w:p>
        </w:tc>
      </w:tr>
      <w:tr w:rsidR="004F3307" w:rsidRPr="00726BD5" w14:paraId="71C51AD2" w14:textId="77777777" w:rsidTr="004F3307">
        <w:trPr>
          <w:trHeight w:val="420"/>
          <w:jc w:val="center"/>
        </w:trPr>
        <w:tc>
          <w:tcPr>
            <w:tcW w:w="1900" w:type="dxa"/>
            <w:tcBorders>
              <w:top w:val="single" w:sz="4" w:space="0" w:color="DA9694"/>
              <w:left w:val="single" w:sz="4" w:space="0" w:color="DA9694"/>
              <w:bottom w:val="single" w:sz="4" w:space="0" w:color="DA9694"/>
              <w:right w:val="nil"/>
            </w:tcBorders>
            <w:shd w:val="clear" w:color="000000" w:fill="F2DBDB"/>
            <w:vAlign w:val="center"/>
            <w:hideMark/>
          </w:tcPr>
          <w:p w14:paraId="57AC7556" w14:textId="23056BC5" w:rsidR="004F3307" w:rsidRPr="00726BD5" w:rsidRDefault="004F3307" w:rsidP="004F3307">
            <w:pPr>
              <w:jc w:val="center"/>
              <w:rPr>
                <w:rFonts w:ascii="Montserrat" w:hAnsi="Montserrat" w:cs="Arial"/>
                <w:color w:val="000000"/>
                <w:lang w:val="es-MX"/>
              </w:rPr>
            </w:pPr>
            <w:r w:rsidRPr="00726BD5">
              <w:rPr>
                <w:rFonts w:ascii="Montserrat" w:hAnsi="Montserrat"/>
              </w:rPr>
              <w:t>Cifras Cobradas</w:t>
            </w:r>
          </w:p>
        </w:tc>
        <w:tc>
          <w:tcPr>
            <w:tcW w:w="1900" w:type="dxa"/>
            <w:tcBorders>
              <w:top w:val="single" w:sz="4" w:space="0" w:color="DA9694"/>
              <w:left w:val="nil"/>
              <w:bottom w:val="single" w:sz="4" w:space="0" w:color="DA9694"/>
              <w:right w:val="nil"/>
            </w:tcBorders>
            <w:shd w:val="clear" w:color="000000" w:fill="F2DBDB"/>
            <w:vAlign w:val="center"/>
            <w:hideMark/>
          </w:tcPr>
          <w:p w14:paraId="0E1E3E62" w14:textId="15EF6392" w:rsidR="004F3307" w:rsidRPr="00726BD5" w:rsidRDefault="004F3307" w:rsidP="004F3307">
            <w:pPr>
              <w:jc w:val="center"/>
              <w:rPr>
                <w:rFonts w:ascii="Montserrat" w:hAnsi="Montserrat" w:cs="Arial"/>
                <w:color w:val="000000"/>
                <w:lang w:val="es-MX"/>
              </w:rPr>
            </w:pPr>
            <w:r w:rsidRPr="00726BD5">
              <w:rPr>
                <w:rFonts w:ascii="Montserrat" w:hAnsi="Montserrat"/>
              </w:rPr>
              <w:t>$25,000</w:t>
            </w:r>
          </w:p>
        </w:tc>
        <w:tc>
          <w:tcPr>
            <w:tcW w:w="2740" w:type="dxa"/>
            <w:tcBorders>
              <w:top w:val="single" w:sz="4" w:space="0" w:color="DA9694"/>
              <w:left w:val="nil"/>
              <w:bottom w:val="single" w:sz="4" w:space="0" w:color="DA9694"/>
              <w:right w:val="nil"/>
            </w:tcBorders>
            <w:shd w:val="clear" w:color="000000" w:fill="F2DBDB"/>
            <w:vAlign w:val="center"/>
            <w:hideMark/>
          </w:tcPr>
          <w:p w14:paraId="394BFCC9" w14:textId="6CC220F5" w:rsidR="004F3307" w:rsidRPr="00726BD5" w:rsidRDefault="004F3307" w:rsidP="004F3307">
            <w:pPr>
              <w:jc w:val="center"/>
              <w:rPr>
                <w:rFonts w:ascii="Montserrat" w:hAnsi="Montserrat" w:cs="Arial"/>
                <w:color w:val="000000"/>
                <w:lang w:val="es-MX"/>
              </w:rPr>
            </w:pPr>
            <w:r w:rsidRPr="00726BD5">
              <w:rPr>
                <w:rFonts w:ascii="Montserrat" w:hAnsi="Montserrat"/>
              </w:rPr>
              <w:t>$ 45,835</w:t>
            </w:r>
          </w:p>
        </w:tc>
        <w:tc>
          <w:tcPr>
            <w:tcW w:w="1900" w:type="dxa"/>
            <w:tcBorders>
              <w:top w:val="single" w:sz="4" w:space="0" w:color="DA9694"/>
              <w:left w:val="nil"/>
              <w:bottom w:val="single" w:sz="4" w:space="0" w:color="DA9694"/>
              <w:right w:val="single" w:sz="4" w:space="0" w:color="DA9694"/>
            </w:tcBorders>
            <w:shd w:val="clear" w:color="000000" w:fill="F2DBDB"/>
            <w:vAlign w:val="center"/>
            <w:hideMark/>
          </w:tcPr>
          <w:p w14:paraId="332D73ED" w14:textId="6F7F6A48" w:rsidR="004F3307" w:rsidRPr="00726BD5" w:rsidRDefault="004F3307" w:rsidP="004F3307">
            <w:pPr>
              <w:jc w:val="center"/>
              <w:rPr>
                <w:rFonts w:ascii="Montserrat" w:hAnsi="Montserrat" w:cs="Arial"/>
                <w:color w:val="000000"/>
                <w:lang w:val="es-MX"/>
              </w:rPr>
            </w:pPr>
            <w:r w:rsidRPr="00726BD5">
              <w:rPr>
                <w:rFonts w:ascii="Montserrat" w:hAnsi="Montserrat"/>
              </w:rPr>
              <w:t>183.34 %</w:t>
            </w:r>
          </w:p>
        </w:tc>
      </w:tr>
    </w:tbl>
    <w:p w14:paraId="31A2CE52" w14:textId="77777777" w:rsidR="0087084D" w:rsidRPr="00726BD5" w:rsidRDefault="0087084D" w:rsidP="0087084D">
      <w:pPr>
        <w:spacing w:after="200" w:line="276" w:lineRule="auto"/>
        <w:contextualSpacing/>
        <w:jc w:val="both"/>
        <w:rPr>
          <w:rFonts w:ascii="Montserrat" w:hAnsi="Montserrat" w:cs="Arial"/>
          <w:kern w:val="2"/>
          <w:lang w:eastAsia="en-US"/>
        </w:rPr>
      </w:pPr>
    </w:p>
    <w:p w14:paraId="4DD1E625" w14:textId="228858D2" w:rsidR="0087084D" w:rsidRPr="00726BD5" w:rsidRDefault="0087084D" w:rsidP="0087084D">
      <w:pPr>
        <w:rPr>
          <w:rFonts w:ascii="Montserrat" w:hAnsi="Montserrat"/>
          <w:b/>
        </w:rPr>
      </w:pPr>
      <w:r w:rsidRPr="00726BD5">
        <w:rPr>
          <w:rFonts w:ascii="Montserrat" w:hAnsi="Montserrat"/>
          <w:b/>
        </w:rPr>
        <w:t>CIFRAS COBRADAS PARA AVANCE DE LEY DE INGRESOS</w:t>
      </w:r>
    </w:p>
    <w:p w14:paraId="087708CA" w14:textId="77777777" w:rsidR="0087084D" w:rsidRPr="00726BD5" w:rsidRDefault="0087084D" w:rsidP="0087084D">
      <w:pPr>
        <w:jc w:val="both"/>
        <w:rPr>
          <w:rFonts w:ascii="Montserrat" w:hAnsi="Montserrat" w:cs="Arial"/>
          <w:b/>
          <w:kern w:val="2"/>
          <w:lang w:eastAsia="en-US"/>
        </w:rPr>
      </w:pPr>
    </w:p>
    <w:p w14:paraId="5998DDB6" w14:textId="066CA3FB" w:rsidR="0087084D" w:rsidRPr="00726BD5" w:rsidRDefault="004F3307" w:rsidP="0087084D">
      <w:pPr>
        <w:ind w:left="360"/>
        <w:jc w:val="both"/>
        <w:rPr>
          <w:rFonts w:ascii="Montserrat" w:hAnsi="Montserrat" w:cs="Arial"/>
          <w:kern w:val="2"/>
          <w:lang w:eastAsia="en-US"/>
        </w:rPr>
      </w:pPr>
      <w:r w:rsidRPr="00726BD5">
        <w:rPr>
          <w:rFonts w:ascii="Montserrat" w:hAnsi="Montserrat" w:cs="Arial"/>
          <w:kern w:val="2"/>
          <w:lang w:eastAsia="en-US"/>
        </w:rPr>
        <w:t xml:space="preserve">Como resultado de la actividad fiscalizadora, al segundo trimestre de 2025 la Dirección de Auditoría e Inspección Fiscal tramitó el pago de incentivos económicos ante la Unidad de Coordinación con Entidades Federativas (UCEF) en cantidad de 91 millones 42 mil 19 pesos, asimismo se recuperó cifras cobradas que derivan de actos de fiscalización en materia federal que fueron  pagados por los contribuyentes directamente al Estado en cantidad de 33 millones 306 mil 42 pesos, </w:t>
      </w:r>
      <w:r w:rsidRPr="00726BD5">
        <w:rPr>
          <w:rFonts w:ascii="Montserrat" w:hAnsi="Montserrat" w:cs="Arial"/>
          <w:kern w:val="2"/>
          <w:lang w:eastAsia="en-US"/>
        </w:rPr>
        <w:lastRenderedPageBreak/>
        <w:t>obteniéndose una recaudación total por actos de fiscalización en cantidad de 124 millones 348 mil 61 pesos. Por otra parte, la recaudación lograda de Impuestos Estatales fue de 45 millones 835 mil 996 pesos, en este sentido, se obtuvo un total de ingresos de 170 millones 184 mil 57 pesos, con los cuales se contribuye a sufragar el gasto público.</w:t>
      </w:r>
    </w:p>
    <w:p w14:paraId="3CC39A96" w14:textId="77777777" w:rsidR="004F3307" w:rsidRPr="00726BD5" w:rsidRDefault="004F3307" w:rsidP="0087084D">
      <w:pPr>
        <w:ind w:left="360"/>
        <w:jc w:val="both"/>
        <w:rPr>
          <w:rFonts w:ascii="Montserrat" w:hAnsi="Montserrat" w:cs="Arial"/>
          <w:kern w:val="2"/>
          <w:lang w:eastAsia="en-US"/>
        </w:rPr>
      </w:pPr>
    </w:p>
    <w:p w14:paraId="3748B819" w14:textId="7BCB6BE6" w:rsidR="004F3307" w:rsidRPr="00726BD5" w:rsidRDefault="004F3307" w:rsidP="0087084D">
      <w:pPr>
        <w:ind w:left="360"/>
        <w:jc w:val="both"/>
        <w:rPr>
          <w:rFonts w:ascii="Montserrat" w:hAnsi="Montserrat" w:cs="Arial"/>
          <w:kern w:val="2"/>
          <w:lang w:eastAsia="en-US"/>
        </w:rPr>
      </w:pPr>
      <w:r w:rsidRPr="00726BD5">
        <w:rPr>
          <w:rFonts w:ascii="Montserrat" w:hAnsi="Montserrat"/>
          <w:noProof/>
        </w:rPr>
        <w:drawing>
          <wp:inline distT="0" distB="0" distL="0" distR="0" wp14:anchorId="45F74812" wp14:editId="3A94BB92">
            <wp:extent cx="5104130" cy="3413492"/>
            <wp:effectExtent l="0" t="0" r="1270" b="0"/>
            <wp:docPr id="1682105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2261" t="3526" r="3096" b="3544"/>
                    <a:stretch>
                      <a:fillRect/>
                    </a:stretch>
                  </pic:blipFill>
                  <pic:spPr bwMode="auto">
                    <a:xfrm>
                      <a:off x="0" y="0"/>
                      <a:ext cx="5116268" cy="3421610"/>
                    </a:xfrm>
                    <a:prstGeom prst="rect">
                      <a:avLst/>
                    </a:prstGeom>
                    <a:noFill/>
                    <a:ln>
                      <a:noFill/>
                    </a:ln>
                    <a:extLst>
                      <a:ext uri="{53640926-AAD7-44D8-BBD7-CCE9431645EC}">
                        <a14:shadowObscured xmlns:a14="http://schemas.microsoft.com/office/drawing/2010/main"/>
                      </a:ext>
                    </a:extLst>
                  </pic:spPr>
                </pic:pic>
              </a:graphicData>
            </a:graphic>
          </wp:inline>
        </w:drawing>
      </w:r>
    </w:p>
    <w:p w14:paraId="05762634" w14:textId="77777777" w:rsidR="0087084D" w:rsidRPr="00726BD5" w:rsidRDefault="0087084D" w:rsidP="0087084D">
      <w:pPr>
        <w:spacing w:after="200" w:line="276" w:lineRule="auto"/>
        <w:contextualSpacing/>
        <w:jc w:val="center"/>
        <w:rPr>
          <w:rFonts w:ascii="Montserrat" w:hAnsi="Montserrat" w:cs="Arial"/>
          <w:kern w:val="2"/>
          <w:lang w:eastAsia="en-US"/>
        </w:rPr>
      </w:pPr>
    </w:p>
    <w:p w14:paraId="7838361C" w14:textId="6016B8C5" w:rsidR="00B0059B" w:rsidRPr="00726BD5" w:rsidRDefault="00B0059B" w:rsidP="00DA40B0">
      <w:pPr>
        <w:pStyle w:val="Prrafodelista"/>
        <w:widowControl w:val="0"/>
        <w:numPr>
          <w:ilvl w:val="0"/>
          <w:numId w:val="38"/>
        </w:numPr>
        <w:ind w:left="426" w:hanging="426"/>
        <w:jc w:val="both"/>
        <w:rPr>
          <w:rFonts w:ascii="Montserrat" w:hAnsi="Montserrat"/>
          <w:b/>
          <w:sz w:val="24"/>
          <w:szCs w:val="24"/>
        </w:rPr>
      </w:pPr>
      <w:r w:rsidRPr="00726BD5">
        <w:rPr>
          <w:rFonts w:ascii="Montserrat" w:hAnsi="Montserrat"/>
          <w:b/>
          <w:sz w:val="24"/>
          <w:szCs w:val="24"/>
        </w:rPr>
        <w:t>Información sobre la Deuda y el Reporte Analítico de la Deuda</w:t>
      </w:r>
    </w:p>
    <w:p w14:paraId="603F19BE" w14:textId="77777777" w:rsidR="0038477A" w:rsidRPr="00726BD5" w:rsidRDefault="0038477A" w:rsidP="006C7F29">
      <w:pPr>
        <w:ind w:left="360"/>
        <w:jc w:val="both"/>
        <w:rPr>
          <w:rFonts w:ascii="Montserrat" w:hAnsi="Montserrat" w:cs="Arial"/>
          <w:b/>
          <w:bCs/>
        </w:rPr>
      </w:pPr>
      <w:r w:rsidRPr="00726BD5">
        <w:rPr>
          <w:rFonts w:ascii="Montserrat" w:hAnsi="Montserrat" w:cs="Arial"/>
          <w:b/>
          <w:bCs/>
        </w:rPr>
        <w:t>Política de Deuda Pública</w:t>
      </w:r>
    </w:p>
    <w:p w14:paraId="6FCB8143" w14:textId="77777777" w:rsidR="0038477A" w:rsidRPr="00726BD5" w:rsidRDefault="0038477A" w:rsidP="0038477A">
      <w:pPr>
        <w:ind w:left="360"/>
        <w:jc w:val="both"/>
        <w:rPr>
          <w:rFonts w:ascii="Montserrat" w:hAnsi="Montserrat" w:cs="Arial"/>
        </w:rPr>
      </w:pPr>
    </w:p>
    <w:p w14:paraId="602B70E3" w14:textId="77777777" w:rsidR="004F3307" w:rsidRPr="00726BD5" w:rsidRDefault="004F3307" w:rsidP="004F3307">
      <w:pPr>
        <w:ind w:left="360"/>
        <w:jc w:val="both"/>
        <w:rPr>
          <w:rFonts w:ascii="Montserrat" w:hAnsi="Montserrat" w:cs="Arial"/>
        </w:rPr>
      </w:pPr>
      <w:r w:rsidRPr="00726BD5">
        <w:rPr>
          <w:rFonts w:ascii="Montserrat" w:hAnsi="Montserrat" w:cs="Arial"/>
        </w:rPr>
        <w:t>Se continúa con una política responsable en materia de deuda pública con la implementación de medidas de austeridad y de disciplina financiera en el ejercicio del gasto, aplicando lo establecido en la Ley de Disciplina Financiera de las Entidades Federativas y los Municipios.</w:t>
      </w:r>
    </w:p>
    <w:p w14:paraId="7D96A202" w14:textId="77777777" w:rsidR="004F3307" w:rsidRPr="00726BD5" w:rsidRDefault="004F3307" w:rsidP="004F3307">
      <w:pPr>
        <w:ind w:left="360"/>
        <w:jc w:val="both"/>
        <w:rPr>
          <w:rFonts w:ascii="Montserrat" w:hAnsi="Montserrat" w:cs="Arial"/>
        </w:rPr>
      </w:pPr>
    </w:p>
    <w:p w14:paraId="31CC391E" w14:textId="16D215FF" w:rsidR="00CD0070" w:rsidRPr="00726BD5" w:rsidRDefault="004F3307" w:rsidP="004F3307">
      <w:pPr>
        <w:ind w:left="360"/>
        <w:jc w:val="both"/>
        <w:rPr>
          <w:rFonts w:ascii="Montserrat" w:hAnsi="Montserrat" w:cs="Arial"/>
        </w:rPr>
      </w:pPr>
      <w:r w:rsidRPr="00726BD5">
        <w:rPr>
          <w:rFonts w:ascii="Montserrat" w:hAnsi="Montserrat" w:cs="Arial"/>
        </w:rPr>
        <w:t>Como resultado de estas medidas, durante el presente ejercicio fiscal no se ha contratado deuda pública ni créditos a corto plazo y se cumple oportunamente con las obligaciones contractuales vigentes.</w:t>
      </w:r>
    </w:p>
    <w:p w14:paraId="3EFE3852" w14:textId="77777777" w:rsidR="004F3307" w:rsidRPr="00726BD5" w:rsidRDefault="004F3307" w:rsidP="004F3307">
      <w:pPr>
        <w:ind w:left="360"/>
        <w:jc w:val="both"/>
        <w:rPr>
          <w:rFonts w:ascii="Montserrat" w:hAnsi="Montserrat" w:cs="Arial"/>
          <w:b/>
          <w:bCs/>
        </w:rPr>
      </w:pPr>
    </w:p>
    <w:p w14:paraId="1D1E781B" w14:textId="77777777" w:rsidR="00E859AF" w:rsidRDefault="00E859AF">
      <w:pPr>
        <w:rPr>
          <w:rFonts w:ascii="Montserrat" w:hAnsi="Montserrat" w:cs="Arial"/>
          <w:b/>
          <w:bCs/>
        </w:rPr>
      </w:pPr>
      <w:r>
        <w:rPr>
          <w:rFonts w:ascii="Montserrat" w:hAnsi="Montserrat" w:cs="Arial"/>
          <w:b/>
          <w:bCs/>
        </w:rPr>
        <w:br w:type="page"/>
      </w:r>
    </w:p>
    <w:p w14:paraId="54D1063A" w14:textId="77777777" w:rsidR="00E859AF" w:rsidRDefault="00E859AF" w:rsidP="006C7F29">
      <w:pPr>
        <w:ind w:left="360"/>
        <w:jc w:val="both"/>
        <w:rPr>
          <w:rFonts w:ascii="Montserrat" w:hAnsi="Montserrat" w:cs="Arial"/>
          <w:b/>
          <w:bCs/>
        </w:rPr>
      </w:pPr>
    </w:p>
    <w:p w14:paraId="52F5FCBE" w14:textId="34F27721" w:rsidR="0038477A" w:rsidRPr="00726BD5" w:rsidRDefault="0038477A" w:rsidP="006C7F29">
      <w:pPr>
        <w:ind w:left="360"/>
        <w:jc w:val="both"/>
        <w:rPr>
          <w:rFonts w:ascii="Montserrat" w:hAnsi="Montserrat" w:cs="Arial"/>
          <w:b/>
          <w:bCs/>
        </w:rPr>
      </w:pPr>
      <w:r w:rsidRPr="00726BD5">
        <w:rPr>
          <w:rFonts w:ascii="Montserrat" w:hAnsi="Montserrat" w:cs="Arial"/>
          <w:b/>
          <w:bCs/>
        </w:rPr>
        <w:t>DEUDA PÚBLICA Y OBLIGACIONES DE PAGO ESTATAL</w:t>
      </w:r>
    </w:p>
    <w:p w14:paraId="5CE926BA" w14:textId="77777777" w:rsidR="006C7F29" w:rsidRPr="00726BD5" w:rsidRDefault="006C7F29" w:rsidP="006C7F29">
      <w:pPr>
        <w:ind w:left="360"/>
        <w:jc w:val="both"/>
        <w:rPr>
          <w:rFonts w:ascii="Montserrat" w:hAnsi="Montserrat" w:cs="Arial"/>
        </w:rPr>
      </w:pPr>
    </w:p>
    <w:p w14:paraId="0A023FC0" w14:textId="77777777" w:rsidR="004F3307" w:rsidRPr="00726BD5" w:rsidRDefault="004F3307" w:rsidP="004F3307">
      <w:pPr>
        <w:ind w:left="360"/>
        <w:jc w:val="both"/>
        <w:rPr>
          <w:rFonts w:ascii="Montserrat" w:hAnsi="Montserrat" w:cs="Arial"/>
        </w:rPr>
      </w:pPr>
      <w:r w:rsidRPr="00726BD5">
        <w:rPr>
          <w:rFonts w:ascii="Montserrat" w:hAnsi="Montserrat" w:cs="Arial"/>
        </w:rPr>
        <w:t>La Ley de Deuda Pública del Estado de Oaxaca establece dos tipos de Financiamientos: los que se consideran como un Pasivo Directo y las Obligaciones de Pago que no representan un pasivo directo al Estado, sin embargo, existe el compromiso de pago.</w:t>
      </w:r>
    </w:p>
    <w:p w14:paraId="13545808" w14:textId="77777777" w:rsidR="004F3307" w:rsidRPr="00726BD5" w:rsidRDefault="004F3307" w:rsidP="004F3307">
      <w:pPr>
        <w:ind w:left="360"/>
        <w:jc w:val="both"/>
        <w:rPr>
          <w:rFonts w:ascii="Montserrat" w:hAnsi="Montserrat" w:cs="Arial"/>
        </w:rPr>
      </w:pPr>
    </w:p>
    <w:p w14:paraId="74EF499F" w14:textId="25C1F5FC" w:rsidR="00CD0070" w:rsidRPr="00726BD5" w:rsidRDefault="004F3307" w:rsidP="004F3307">
      <w:pPr>
        <w:ind w:left="360"/>
        <w:jc w:val="both"/>
        <w:rPr>
          <w:rFonts w:ascii="Montserrat" w:hAnsi="Montserrat" w:cs="Arial"/>
        </w:rPr>
      </w:pPr>
      <w:r w:rsidRPr="00726BD5">
        <w:rPr>
          <w:rFonts w:ascii="Montserrat" w:hAnsi="Montserrat" w:cs="Arial"/>
        </w:rPr>
        <w:t>El Estado cuenta con 12 financiamientos vigentes: 10 créditos a largo plazo, considerados como pasivos directos y 2 créditos Bono Cupón Cero, conocidos como Obligaciones de Pago, con las principales características:</w:t>
      </w:r>
    </w:p>
    <w:p w14:paraId="21FCCD61" w14:textId="77777777" w:rsidR="004F3307" w:rsidRPr="00726BD5" w:rsidRDefault="004F3307" w:rsidP="004F3307">
      <w:pPr>
        <w:jc w:val="both"/>
        <w:rPr>
          <w:rFonts w:ascii="Montserrat" w:hAnsi="Montserrat"/>
        </w:rPr>
      </w:pPr>
    </w:p>
    <w:p w14:paraId="1AE86076" w14:textId="280D6C9E" w:rsidR="00CD0070" w:rsidRPr="00726BD5" w:rsidRDefault="004F3307" w:rsidP="004F3307">
      <w:pPr>
        <w:jc w:val="right"/>
        <w:rPr>
          <w:rFonts w:ascii="Montserrat" w:hAnsi="Montserrat" w:cs="Arial"/>
        </w:rPr>
      </w:pPr>
      <w:r w:rsidRPr="00726BD5">
        <w:rPr>
          <w:rFonts w:ascii="Montserrat" w:hAnsi="Montserrat"/>
          <w:noProof/>
        </w:rPr>
        <w:drawing>
          <wp:inline distT="0" distB="0" distL="0" distR="0" wp14:anchorId="260CB30E" wp14:editId="167942BD">
            <wp:extent cx="5670550" cy="3364987"/>
            <wp:effectExtent l="19050" t="19050" r="25400" b="26035"/>
            <wp:docPr id="21264756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0550" cy="3364987"/>
                    </a:xfrm>
                    <a:prstGeom prst="rect">
                      <a:avLst/>
                    </a:prstGeom>
                    <a:noFill/>
                    <a:ln>
                      <a:solidFill>
                        <a:schemeClr val="tx1"/>
                      </a:solidFill>
                    </a:ln>
                  </pic:spPr>
                </pic:pic>
              </a:graphicData>
            </a:graphic>
          </wp:inline>
        </w:drawing>
      </w:r>
    </w:p>
    <w:p w14:paraId="5FC9408B" w14:textId="77777777" w:rsidR="00CD0070" w:rsidRPr="00726BD5" w:rsidRDefault="00CD0070" w:rsidP="00CD0070">
      <w:pPr>
        <w:ind w:left="170" w:hanging="227"/>
        <w:mirrorIndents/>
        <w:jc w:val="both"/>
        <w:rPr>
          <w:rFonts w:ascii="Montserrat" w:hAnsi="Montserrat" w:cs="Arial"/>
          <w:b/>
        </w:rPr>
      </w:pPr>
      <w:r w:rsidRPr="00726BD5">
        <w:rPr>
          <w:rFonts w:ascii="Montserrat" w:hAnsi="Montserrat" w:cs="Arial"/>
          <w:bCs/>
        </w:rPr>
        <w:tab/>
      </w:r>
      <w:r w:rsidRPr="00726BD5">
        <w:rPr>
          <w:rFonts w:ascii="Montserrat" w:hAnsi="Montserrat" w:cs="Arial"/>
          <w:bCs/>
        </w:rPr>
        <w:tab/>
      </w:r>
      <w:r w:rsidRPr="00726BD5">
        <w:rPr>
          <w:rFonts w:ascii="Montserrat" w:hAnsi="Montserrat" w:cs="Arial"/>
          <w:bCs/>
        </w:rPr>
        <w:tab/>
      </w:r>
    </w:p>
    <w:p w14:paraId="06EB33A0" w14:textId="42728DFF" w:rsidR="004F3307" w:rsidRPr="00E859AF" w:rsidRDefault="004F3307" w:rsidP="004F3307">
      <w:pPr>
        <w:ind w:left="284" w:hanging="142"/>
        <w:jc w:val="both"/>
        <w:rPr>
          <w:rFonts w:ascii="Montserrat" w:hAnsi="Montserrat" w:cs="Arial"/>
          <w:bCs/>
          <w:sz w:val="16"/>
          <w:szCs w:val="16"/>
        </w:rPr>
      </w:pPr>
      <w:r w:rsidRPr="00E859AF">
        <w:rPr>
          <w:rFonts w:ascii="Montserrat" w:hAnsi="Montserrat" w:cs="Arial"/>
          <w:bCs/>
          <w:sz w:val="16"/>
          <w:szCs w:val="16"/>
        </w:rPr>
        <w:t>1/ En términos de la Cláusula Décima Tercera numeral 13.1 del contrato de crédito, el 28 de noviembre de 2022 Banobras activó la aceleración parcial del Crédito</w:t>
      </w:r>
    </w:p>
    <w:p w14:paraId="08283474" w14:textId="77777777" w:rsidR="004F3307" w:rsidRPr="00E859AF" w:rsidRDefault="004F3307" w:rsidP="004F3307">
      <w:pPr>
        <w:ind w:left="284" w:hanging="142"/>
        <w:jc w:val="both"/>
        <w:rPr>
          <w:rFonts w:ascii="Montserrat" w:hAnsi="Montserrat" w:cs="Arial"/>
          <w:bCs/>
          <w:sz w:val="16"/>
          <w:szCs w:val="16"/>
        </w:rPr>
      </w:pPr>
      <w:r w:rsidRPr="00E859AF">
        <w:rPr>
          <w:rFonts w:ascii="Montserrat" w:hAnsi="Montserrat" w:cs="Arial"/>
          <w:bCs/>
          <w:sz w:val="16"/>
          <w:szCs w:val="16"/>
        </w:rPr>
        <w:t>2/</w:t>
      </w:r>
      <w:r w:rsidRPr="00E859AF">
        <w:rPr>
          <w:rFonts w:ascii="Montserrat" w:hAnsi="Montserrat" w:cs="Arial"/>
          <w:bCs/>
          <w:sz w:val="16"/>
          <w:szCs w:val="16"/>
        </w:rPr>
        <w:tab/>
        <w:t>Estos créditos se liquidaron anticipadamente el 25 de septiembre de 2024</w:t>
      </w:r>
    </w:p>
    <w:p w14:paraId="097109E1" w14:textId="77777777" w:rsidR="004F3307" w:rsidRPr="00E859AF" w:rsidRDefault="004F3307" w:rsidP="004F3307">
      <w:pPr>
        <w:ind w:left="284" w:hanging="142"/>
        <w:jc w:val="both"/>
        <w:rPr>
          <w:rFonts w:ascii="Montserrat" w:hAnsi="Montserrat" w:cs="Arial"/>
          <w:bCs/>
          <w:sz w:val="16"/>
          <w:szCs w:val="16"/>
        </w:rPr>
      </w:pPr>
      <w:r w:rsidRPr="00E859AF">
        <w:rPr>
          <w:rFonts w:ascii="Montserrat" w:hAnsi="Montserrat" w:cs="Arial"/>
          <w:bCs/>
          <w:sz w:val="16"/>
          <w:szCs w:val="16"/>
        </w:rPr>
        <w:t>3/</w:t>
      </w:r>
      <w:r w:rsidRPr="00E859AF">
        <w:rPr>
          <w:rFonts w:ascii="Montserrat" w:hAnsi="Montserrat" w:cs="Arial"/>
          <w:bCs/>
          <w:sz w:val="16"/>
          <w:szCs w:val="16"/>
        </w:rPr>
        <w:tab/>
        <w:t>Los recursos de estos créditos fueron dispuestos el 25 de septiembre de 2024 para el refinanciamiento de los créditos señalados con la nota 2/</w:t>
      </w:r>
    </w:p>
    <w:p w14:paraId="5094B802" w14:textId="77777777" w:rsidR="004F3307" w:rsidRPr="00E859AF" w:rsidRDefault="004F3307" w:rsidP="004F3307">
      <w:pPr>
        <w:ind w:left="284" w:hanging="142"/>
        <w:jc w:val="both"/>
        <w:rPr>
          <w:rFonts w:ascii="Montserrat" w:hAnsi="Montserrat" w:cs="Arial"/>
          <w:bCs/>
          <w:sz w:val="16"/>
          <w:szCs w:val="16"/>
        </w:rPr>
      </w:pPr>
      <w:r w:rsidRPr="00E859AF">
        <w:rPr>
          <w:rFonts w:ascii="Montserrat" w:hAnsi="Montserrat" w:cs="Arial"/>
          <w:bCs/>
          <w:sz w:val="16"/>
          <w:szCs w:val="16"/>
        </w:rPr>
        <w:t>4/</w:t>
      </w:r>
      <w:r w:rsidRPr="00E859AF">
        <w:rPr>
          <w:rFonts w:ascii="Montserrat" w:hAnsi="Montserrat" w:cs="Arial"/>
          <w:bCs/>
          <w:sz w:val="16"/>
          <w:szCs w:val="16"/>
        </w:rPr>
        <w:tab/>
        <w:t>El Estado solamente pagará intereses, el principal será cubierto con bonos cupón cero, que serán adquiridos por un Fideicomiso, con cargo al patrimonio del mismo; constituido por el gobierno federal por conducto de la SHCP y Banobras.</w:t>
      </w:r>
    </w:p>
    <w:p w14:paraId="7DA0D1B8" w14:textId="71E8C5B8" w:rsidR="00CD0070" w:rsidRPr="00726BD5" w:rsidRDefault="004F3307" w:rsidP="004F3307">
      <w:pPr>
        <w:ind w:left="284" w:hanging="142"/>
        <w:jc w:val="both"/>
        <w:rPr>
          <w:rFonts w:ascii="Montserrat" w:hAnsi="Montserrat" w:cs="Arial"/>
          <w:bCs/>
        </w:rPr>
      </w:pPr>
      <w:r w:rsidRPr="00E859AF">
        <w:rPr>
          <w:rFonts w:ascii="Montserrat" w:hAnsi="Montserrat" w:cs="Arial"/>
          <w:bCs/>
          <w:sz w:val="16"/>
          <w:szCs w:val="16"/>
        </w:rPr>
        <w:t>5/ Se modificó a la baja la sobretasa en relación al período anterior al subir la calificación crediticia de los créditos en 2024: Banobras 363, de 0.40 a 0.39%; Banobras 2,000, de 0.35 a 0.34% y Santander 1000, de 0.29 a 0.288%.</w:t>
      </w:r>
      <w:r w:rsidR="00CD0070" w:rsidRPr="00726BD5">
        <w:rPr>
          <w:rFonts w:ascii="Montserrat" w:hAnsi="Montserrat" w:cs="Arial"/>
          <w:bCs/>
        </w:rPr>
        <w:tab/>
      </w:r>
      <w:r w:rsidR="00CD0070" w:rsidRPr="00726BD5">
        <w:rPr>
          <w:rFonts w:ascii="Montserrat" w:hAnsi="Montserrat" w:cs="Arial"/>
          <w:bCs/>
        </w:rPr>
        <w:tab/>
      </w:r>
      <w:r w:rsidR="00CD0070" w:rsidRPr="00726BD5">
        <w:rPr>
          <w:rFonts w:ascii="Montserrat" w:hAnsi="Montserrat" w:cs="Arial"/>
          <w:bCs/>
        </w:rPr>
        <w:tab/>
      </w:r>
      <w:r w:rsidR="00CD0070" w:rsidRPr="00726BD5">
        <w:rPr>
          <w:rFonts w:ascii="Montserrat" w:hAnsi="Montserrat" w:cs="Arial"/>
          <w:bCs/>
        </w:rPr>
        <w:tab/>
      </w:r>
      <w:r w:rsidR="00CD0070" w:rsidRPr="00726BD5">
        <w:rPr>
          <w:rFonts w:ascii="Montserrat" w:hAnsi="Montserrat" w:cs="Arial"/>
          <w:bCs/>
        </w:rPr>
        <w:tab/>
      </w:r>
      <w:r w:rsidR="00CD0070" w:rsidRPr="00726BD5">
        <w:rPr>
          <w:rFonts w:ascii="Montserrat" w:hAnsi="Montserrat" w:cs="Arial"/>
          <w:bCs/>
        </w:rPr>
        <w:tab/>
      </w:r>
      <w:r w:rsidR="00CD0070" w:rsidRPr="00726BD5">
        <w:rPr>
          <w:rFonts w:ascii="Montserrat" w:hAnsi="Montserrat" w:cs="Arial"/>
          <w:bCs/>
        </w:rPr>
        <w:tab/>
      </w:r>
      <w:r w:rsidR="00CD0070" w:rsidRPr="00726BD5">
        <w:rPr>
          <w:rFonts w:ascii="Montserrat" w:hAnsi="Montserrat" w:cs="Arial"/>
          <w:bCs/>
        </w:rPr>
        <w:tab/>
      </w:r>
      <w:r w:rsidR="00CD0070" w:rsidRPr="00726BD5">
        <w:rPr>
          <w:rFonts w:ascii="Montserrat" w:hAnsi="Montserrat" w:cs="Arial"/>
          <w:bCs/>
        </w:rPr>
        <w:tab/>
      </w:r>
      <w:r w:rsidR="00CD0070" w:rsidRPr="00726BD5">
        <w:rPr>
          <w:rFonts w:ascii="Montserrat" w:hAnsi="Montserrat" w:cs="Arial"/>
          <w:bCs/>
        </w:rPr>
        <w:tab/>
      </w:r>
      <w:r w:rsidR="00CD0070" w:rsidRPr="00726BD5">
        <w:rPr>
          <w:rFonts w:ascii="Montserrat" w:hAnsi="Montserrat" w:cs="Arial"/>
          <w:bCs/>
        </w:rPr>
        <w:tab/>
      </w:r>
      <w:r w:rsidR="00CD0070" w:rsidRPr="00726BD5">
        <w:rPr>
          <w:rFonts w:ascii="Montserrat" w:hAnsi="Montserrat" w:cs="Arial"/>
          <w:bCs/>
        </w:rPr>
        <w:tab/>
      </w:r>
    </w:p>
    <w:p w14:paraId="1D9A776F" w14:textId="77777777" w:rsidR="00CD0070" w:rsidRPr="00726BD5" w:rsidRDefault="00CD0070" w:rsidP="00CD0070">
      <w:pPr>
        <w:jc w:val="both"/>
        <w:rPr>
          <w:rFonts w:ascii="Montserrat" w:hAnsi="Montserrat" w:cs="Arial"/>
        </w:rPr>
      </w:pPr>
    </w:p>
    <w:p w14:paraId="49E48CE7" w14:textId="27EC76C1" w:rsidR="00CD0070" w:rsidRPr="00726BD5" w:rsidRDefault="004F3307" w:rsidP="00CD0070">
      <w:pPr>
        <w:jc w:val="both"/>
        <w:rPr>
          <w:rFonts w:ascii="Montserrat" w:hAnsi="Montserrat" w:cs="Arial"/>
        </w:rPr>
      </w:pPr>
      <w:r w:rsidRPr="00726BD5">
        <w:rPr>
          <w:rFonts w:ascii="Montserrat" w:hAnsi="Montserrat" w:cs="Arial"/>
        </w:rPr>
        <w:t>El saldo de la deuda pública directa al 30 de junio de 2025 asciende a 14 mil 804 millones 878 mil 137 pesos, la cual representa el 90.61% del total de la deuda pública y otras obligaciones de pago; los Créditos Bono Cupón Cero, en los que el Estado solamente paga intereses y el pago de capital está a cargo de la Federación, con un saldo de 1,534 millones 235 mil 126 pesos, representa el 9.39%.</w:t>
      </w:r>
    </w:p>
    <w:p w14:paraId="13D90262" w14:textId="77777777" w:rsidR="0038477A" w:rsidRPr="00726BD5" w:rsidRDefault="0038477A" w:rsidP="0038477A">
      <w:pPr>
        <w:ind w:left="360"/>
        <w:jc w:val="both"/>
        <w:rPr>
          <w:rFonts w:ascii="Montserrat" w:hAnsi="Montserrat" w:cs="Arial"/>
          <w:bCs/>
        </w:rPr>
      </w:pPr>
    </w:p>
    <w:p w14:paraId="536933E7" w14:textId="77777777" w:rsidR="00B0059B" w:rsidRPr="00726BD5" w:rsidRDefault="00B0059B" w:rsidP="00B0059B">
      <w:pPr>
        <w:widowControl w:val="0"/>
        <w:jc w:val="both"/>
        <w:rPr>
          <w:rFonts w:ascii="Montserrat" w:hAnsi="Montserrat"/>
          <w:b/>
        </w:rPr>
      </w:pPr>
    </w:p>
    <w:p w14:paraId="05F910E5" w14:textId="77777777" w:rsidR="00B0059B" w:rsidRPr="00726BD5" w:rsidRDefault="00B0059B" w:rsidP="00DA40B0">
      <w:pPr>
        <w:pStyle w:val="Prrafodelista"/>
        <w:keepNext/>
        <w:widowControl w:val="0"/>
        <w:numPr>
          <w:ilvl w:val="0"/>
          <w:numId w:val="38"/>
        </w:numPr>
        <w:ind w:left="425" w:hanging="425"/>
        <w:jc w:val="both"/>
        <w:rPr>
          <w:rFonts w:ascii="Montserrat" w:hAnsi="Montserrat"/>
          <w:b/>
          <w:sz w:val="24"/>
          <w:szCs w:val="24"/>
        </w:rPr>
      </w:pPr>
      <w:r w:rsidRPr="00726BD5">
        <w:rPr>
          <w:rFonts w:ascii="Montserrat" w:hAnsi="Montserrat"/>
          <w:b/>
          <w:sz w:val="24"/>
          <w:szCs w:val="24"/>
        </w:rPr>
        <w:t>Calificaciones otorgadas</w:t>
      </w:r>
    </w:p>
    <w:p w14:paraId="1A4B7F66"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Las agencias calificadoras durante la última revisión anual 2024 realizada entre el mes de septiembre y octubre, la opinión emitida por estas instituciones, ha sido unánime en otorgar la calidad crediticia al Estado de Oaxaca con la solvencia para cumplir con las obligaciones financieras contratadas, dejando el claro que el riesgo crediticio es bajo.</w:t>
      </w:r>
    </w:p>
    <w:p w14:paraId="5D6329CB" w14:textId="74ECF348"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Al cierre del </w:t>
      </w:r>
      <w:r w:rsidR="000849CF" w:rsidRPr="00726BD5">
        <w:rPr>
          <w:rFonts w:ascii="Montserrat" w:eastAsia="Times New Roman" w:hAnsi="Montserrat" w:cs="Arial"/>
        </w:rPr>
        <w:t>Segundo</w:t>
      </w:r>
      <w:r w:rsidR="008561F4" w:rsidRPr="00726BD5">
        <w:rPr>
          <w:rFonts w:ascii="Montserrat" w:eastAsia="Times New Roman" w:hAnsi="Montserrat" w:cs="Arial"/>
        </w:rPr>
        <w:t xml:space="preserve"> </w:t>
      </w:r>
      <w:r w:rsidRPr="00726BD5">
        <w:rPr>
          <w:rFonts w:ascii="Montserrat" w:eastAsia="Times New Roman" w:hAnsi="Montserrat" w:cs="Arial"/>
        </w:rPr>
        <w:t>Trimestre de 202</w:t>
      </w:r>
      <w:r w:rsidR="008561F4" w:rsidRPr="00726BD5">
        <w:rPr>
          <w:rFonts w:ascii="Montserrat" w:eastAsia="Times New Roman" w:hAnsi="Montserrat" w:cs="Arial"/>
        </w:rPr>
        <w:t>5</w:t>
      </w:r>
      <w:r w:rsidRPr="00726BD5">
        <w:rPr>
          <w:rFonts w:ascii="Montserrat" w:eastAsia="Times New Roman" w:hAnsi="Montserrat" w:cs="Arial"/>
        </w:rPr>
        <w:t xml:space="preserve">, las calificaciones hacia el Estado libre y soberano de Oaxaca, se pueden considerar dentro de la media alta como es la apreciación de una de las cuatro encargadas de analizar la información financiera administrada por el actual régimen. </w:t>
      </w:r>
    </w:p>
    <w:p w14:paraId="4047445C"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Al Estado, se le señala como unos de los estados con una gran dependencia federativa, pero queda demostrado de los recursos recibidos y los recursos propios son administrados con la destreza para no incurrir a los financiamientos a largo plazo ni de corto plazo por lo cual no lleva al Estado a un endeudamiento y mantener la liquidez necesaria para cubrir los gastos que exige la administración del pueblo oaxaqueño. </w:t>
      </w:r>
    </w:p>
    <w:p w14:paraId="091661AE"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calificación emitida se debe entender como el crédito de la solvencia y la perspectiva es una estimación de lo que podría pasar en un futuro no muy lejano.</w:t>
      </w:r>
    </w:p>
    <w:p w14:paraId="3AAE0509" w14:textId="3D4107AF"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Transcurrido el </w:t>
      </w:r>
      <w:r w:rsidR="000849CF" w:rsidRPr="00726BD5">
        <w:rPr>
          <w:rFonts w:ascii="Montserrat" w:eastAsia="Times New Roman" w:hAnsi="Montserrat" w:cs="Arial"/>
        </w:rPr>
        <w:t>Segundo</w:t>
      </w:r>
      <w:r w:rsidR="008561F4" w:rsidRPr="00726BD5">
        <w:rPr>
          <w:rFonts w:ascii="Montserrat" w:eastAsia="Times New Roman" w:hAnsi="Montserrat" w:cs="Arial"/>
        </w:rPr>
        <w:t xml:space="preserve"> Trimestre de 2025</w:t>
      </w:r>
      <w:r w:rsidRPr="00726BD5">
        <w:rPr>
          <w:rFonts w:ascii="Montserrat" w:eastAsia="Times New Roman" w:hAnsi="Montserrat" w:cs="Arial"/>
        </w:rPr>
        <w:t xml:space="preserve">, el estado de Oaxaca recibe de las instituciones calificadoras una buena apreciación relacionada con el riesgo crediticio. </w:t>
      </w:r>
    </w:p>
    <w:p w14:paraId="41040648"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Se sustenta lo dicho anterior, porque al periodo señalado han mantenido las mismas notificaciones donde se refleja que el Estado de Oaxaca presenta una sólida capacidad de pago de intereses, así como del principal y es poco susceptible a cambios económicos, cuyo significado se traduce </w:t>
      </w:r>
      <w:r w:rsidRPr="00726BD5">
        <w:rPr>
          <w:rFonts w:ascii="Montserrat" w:eastAsia="Times New Roman" w:hAnsi="Montserrat" w:cs="Arial"/>
        </w:rPr>
        <w:lastRenderedPageBreak/>
        <w:t xml:space="preserve">que ofrece seguridad para el pago de sus obligaciones financieras contratadas. En otras palabras, las calificaciones emitidas por estas instituciones, reflejan bajo riesgo y certeza de cumplimiento en todo momento. </w:t>
      </w:r>
    </w:p>
    <w:p w14:paraId="5271D418"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En el mes de mayo de 2024, como estrategia administrativa financiera, con previa autorización del Honorable Congreso del Estado de Oaxaca, la presente administración tomó la decisión de reestructurar la deuda pública del Estado con la finalidad de ampliar los plazos de vencimientos de sus obligaciones financieras. El objetivo principal que sustenta esta operación de reestructura, es la reducción del servicio de la deuda que beneficiaría al Estado, así mismo, debido que ha mejorado la calificación crediticia soberana del Estado, se realizó la revisión de la sobretasa que afectaba la tasa efectiva y como resultado esperado, dio a las finanzas contar con una fuente de liquidez para enfrentar las necesidades apremiantes. Además, es uno de los indicadores que evalúan las calificadoras.</w:t>
      </w:r>
    </w:p>
    <w:p w14:paraId="73E271AF"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Gobierno Estatal del Estado de Oaxaca, continúa con apego a los planteamientos administrativos de finanzas determinados al inicio de su administración, de no endeudar al Estado.</w:t>
      </w:r>
    </w:p>
    <w:p w14:paraId="51304607"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En término concreto se resumen en: continuar con la iniciativa de no contratar deuda pública de largo y corto plazos. Por lo que se observa,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 para afrontar los gastos generados hasta el cierre del Cuarto Trimestre de 2024. A los analistas les permite pensar, que la estrategia aplicada en este tiempo transcurrido le ha dado a este gobierno los resultados esperados.</w:t>
      </w:r>
    </w:p>
    <w:p w14:paraId="43FB5355"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Considerando adicionalmente, que se han incrementado el salario en más del 50% de 8 mil trabajadores de seguridad pública y que se han pagado más de 10 mil millones de pesos de pagos a terceros institucionales y pago de intereses y capital de los créditos con instituciones financieras.</w:t>
      </w:r>
    </w:p>
    <w:p w14:paraId="1BB8C716" w14:textId="77777777" w:rsidR="002C1139" w:rsidRPr="00726BD5" w:rsidRDefault="002C1139" w:rsidP="002C1139">
      <w:pPr>
        <w:tabs>
          <w:tab w:val="left" w:pos="7260"/>
        </w:tabs>
        <w:spacing w:before="240" w:after="240"/>
        <w:jc w:val="both"/>
        <w:rPr>
          <w:rFonts w:ascii="Montserrat" w:eastAsia="Times New Roman" w:hAnsi="Montserrat" w:cs="Arial"/>
        </w:rPr>
      </w:pPr>
      <w:bookmarkStart w:id="4" w:name="_Hlk186791799"/>
      <w:r w:rsidRPr="00726BD5">
        <w:rPr>
          <w:rFonts w:ascii="Montserrat" w:eastAsia="Times New Roman" w:hAnsi="Montserrat" w:cs="Arial"/>
        </w:rPr>
        <w:t xml:space="preserve">La intención de esta administración, es mejorar esta calidad crediticia. Las instituciones financieras lo aprueban y así mismo, emiten en buenos términos esta pronunciación relacionada con la solvencia financiera que el </w:t>
      </w:r>
      <w:r w:rsidRPr="00726BD5">
        <w:rPr>
          <w:rFonts w:ascii="Montserrat" w:eastAsia="Times New Roman" w:hAnsi="Montserrat" w:cs="Arial"/>
        </w:rPr>
        <w:lastRenderedPageBreak/>
        <w:t>Estado ha logrado con las medidas estratégicas de incrementar el ingreso propio, control del gasto y buena administración de la deuda pública.</w:t>
      </w:r>
    </w:p>
    <w:tbl>
      <w:tblPr>
        <w:tblStyle w:val="Tablaconcuadrcula"/>
        <w:tblW w:w="0" w:type="auto"/>
        <w:tblLook w:val="04A0" w:firstRow="1" w:lastRow="0" w:firstColumn="1" w:lastColumn="0" w:noHBand="0" w:noVBand="1"/>
      </w:tblPr>
      <w:tblGrid>
        <w:gridCol w:w="1777"/>
        <w:gridCol w:w="1735"/>
        <w:gridCol w:w="1764"/>
        <w:gridCol w:w="1790"/>
        <w:gridCol w:w="1721"/>
      </w:tblGrid>
      <w:tr w:rsidR="002C1139" w:rsidRPr="00E859AF" w14:paraId="4FEBD98A" w14:textId="77777777" w:rsidTr="007E0E5E">
        <w:trPr>
          <w:trHeight w:val="256"/>
        </w:trPr>
        <w:tc>
          <w:tcPr>
            <w:tcW w:w="8776" w:type="dxa"/>
            <w:gridSpan w:val="5"/>
            <w:tcBorders>
              <w:bottom w:val="single" w:sz="4" w:space="0" w:color="auto"/>
            </w:tcBorders>
          </w:tcPr>
          <w:p w14:paraId="7A9C0EAC" w14:textId="77777777" w:rsidR="002C1139" w:rsidRPr="00E859AF" w:rsidRDefault="002C1139" w:rsidP="007E0E5E">
            <w:pPr>
              <w:keepLines/>
              <w:tabs>
                <w:tab w:val="left" w:pos="7260"/>
              </w:tabs>
              <w:spacing w:before="60" w:after="60"/>
              <w:jc w:val="center"/>
              <w:rPr>
                <w:rFonts w:ascii="Montserrat" w:eastAsia="Times New Roman" w:hAnsi="Montserrat" w:cs="Arial"/>
                <w:b/>
                <w:bCs/>
                <w:sz w:val="20"/>
                <w:szCs w:val="20"/>
              </w:rPr>
            </w:pPr>
            <w:bookmarkStart w:id="5" w:name="_Hlk186791985"/>
            <w:r w:rsidRPr="00E859AF">
              <w:rPr>
                <w:rFonts w:ascii="Montserrat" w:eastAsia="Times New Roman" w:hAnsi="Montserrat" w:cs="Arial"/>
                <w:b/>
                <w:bCs/>
                <w:sz w:val="20"/>
                <w:szCs w:val="20"/>
              </w:rPr>
              <w:t xml:space="preserve">CALIFICACIONES </w:t>
            </w:r>
            <w:proofErr w:type="spellStart"/>
            <w:r w:rsidRPr="00E859AF">
              <w:rPr>
                <w:rFonts w:ascii="Montserrat" w:eastAsia="Times New Roman" w:hAnsi="Montserrat" w:cs="Arial"/>
                <w:b/>
                <w:bCs/>
                <w:sz w:val="20"/>
                <w:szCs w:val="20"/>
              </w:rPr>
              <w:t>SUBSOBERANAS</w:t>
            </w:r>
            <w:proofErr w:type="spellEnd"/>
            <w:r w:rsidRPr="00E859AF">
              <w:rPr>
                <w:rFonts w:ascii="Montserrat" w:eastAsia="Times New Roman" w:hAnsi="Montserrat" w:cs="Arial"/>
                <w:b/>
                <w:bCs/>
                <w:sz w:val="20"/>
                <w:szCs w:val="20"/>
              </w:rPr>
              <w:t xml:space="preserve"> DEL ESTADO DE OAXACA 2023-2024</w:t>
            </w:r>
          </w:p>
        </w:tc>
      </w:tr>
      <w:tr w:rsidR="002C1139" w:rsidRPr="00E859AF" w14:paraId="33034C6A" w14:textId="77777777" w:rsidTr="007E0E5E">
        <w:trPr>
          <w:trHeight w:val="219"/>
        </w:trPr>
        <w:tc>
          <w:tcPr>
            <w:tcW w:w="5265" w:type="dxa"/>
            <w:gridSpan w:val="3"/>
          </w:tcPr>
          <w:p w14:paraId="2605631E"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2023</w:t>
            </w:r>
          </w:p>
        </w:tc>
        <w:tc>
          <w:tcPr>
            <w:tcW w:w="3511" w:type="dxa"/>
            <w:gridSpan w:val="2"/>
          </w:tcPr>
          <w:p w14:paraId="37B84386"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2024</w:t>
            </w:r>
          </w:p>
        </w:tc>
      </w:tr>
      <w:tr w:rsidR="002C1139" w:rsidRPr="00E859AF" w14:paraId="252EF072" w14:textId="77777777" w:rsidTr="007E0E5E">
        <w:trPr>
          <w:trHeight w:val="322"/>
        </w:trPr>
        <w:tc>
          <w:tcPr>
            <w:tcW w:w="1775" w:type="dxa"/>
            <w:vAlign w:val="center"/>
          </w:tcPr>
          <w:p w14:paraId="20974518"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CALIFICADORA</w:t>
            </w:r>
          </w:p>
        </w:tc>
        <w:tc>
          <w:tcPr>
            <w:tcW w:w="1735" w:type="dxa"/>
            <w:vAlign w:val="center"/>
          </w:tcPr>
          <w:p w14:paraId="6642613D"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CALIFICACIÓN</w:t>
            </w:r>
          </w:p>
        </w:tc>
        <w:tc>
          <w:tcPr>
            <w:tcW w:w="1755" w:type="dxa"/>
            <w:vAlign w:val="center"/>
          </w:tcPr>
          <w:p w14:paraId="1B9951DB"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PERSPECTIVAS</w:t>
            </w:r>
          </w:p>
        </w:tc>
        <w:tc>
          <w:tcPr>
            <w:tcW w:w="1790" w:type="dxa"/>
            <w:vAlign w:val="center"/>
          </w:tcPr>
          <w:p w14:paraId="63E5F93A" w14:textId="1768D1B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CALIFICACIÓN</w:t>
            </w:r>
          </w:p>
        </w:tc>
        <w:tc>
          <w:tcPr>
            <w:tcW w:w="1721" w:type="dxa"/>
            <w:vAlign w:val="center"/>
          </w:tcPr>
          <w:p w14:paraId="08970888"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PERSPECTIVA</w:t>
            </w:r>
          </w:p>
        </w:tc>
      </w:tr>
      <w:tr w:rsidR="002C1139" w:rsidRPr="00E859AF" w14:paraId="24D6C0AE" w14:textId="77777777" w:rsidTr="007E0E5E">
        <w:trPr>
          <w:trHeight w:val="20"/>
        </w:trPr>
        <w:tc>
          <w:tcPr>
            <w:tcW w:w="1775" w:type="dxa"/>
            <w:vAlign w:val="center"/>
          </w:tcPr>
          <w:p w14:paraId="14CB113F"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HR Ratings</w:t>
            </w:r>
          </w:p>
        </w:tc>
        <w:tc>
          <w:tcPr>
            <w:tcW w:w="1735" w:type="dxa"/>
            <w:vAlign w:val="center"/>
          </w:tcPr>
          <w:p w14:paraId="4D614A78" w14:textId="77777777" w:rsidR="002C1139" w:rsidRPr="00E859AF" w:rsidRDefault="002C1139" w:rsidP="007E0E5E">
            <w:pPr>
              <w:keepLines/>
              <w:tabs>
                <w:tab w:val="left" w:pos="7260"/>
              </w:tabs>
              <w:spacing w:before="60" w:after="60"/>
              <w:jc w:val="center"/>
              <w:rPr>
                <w:rFonts w:ascii="Montserrat" w:eastAsia="Times New Roman" w:hAnsi="Montserrat" w:cs="Arial"/>
                <w:b/>
                <w:bCs/>
                <w:sz w:val="20"/>
                <w:szCs w:val="20"/>
              </w:rPr>
            </w:pPr>
            <w:r w:rsidRPr="00E859AF">
              <w:rPr>
                <w:rFonts w:ascii="Montserrat" w:eastAsia="Times New Roman" w:hAnsi="Montserrat" w:cs="Arial"/>
                <w:b/>
                <w:bCs/>
                <w:sz w:val="20"/>
                <w:szCs w:val="20"/>
              </w:rPr>
              <w:t>HR A +</w:t>
            </w:r>
          </w:p>
        </w:tc>
        <w:tc>
          <w:tcPr>
            <w:tcW w:w="1755" w:type="dxa"/>
            <w:vAlign w:val="center"/>
          </w:tcPr>
          <w:p w14:paraId="2872BA5B"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Estable</w:t>
            </w:r>
          </w:p>
        </w:tc>
        <w:tc>
          <w:tcPr>
            <w:tcW w:w="1790" w:type="dxa"/>
            <w:vAlign w:val="center"/>
          </w:tcPr>
          <w:p w14:paraId="546409F4" w14:textId="77777777" w:rsidR="002C1139" w:rsidRPr="00E859AF" w:rsidRDefault="002C1139" w:rsidP="007E0E5E">
            <w:pPr>
              <w:keepLines/>
              <w:tabs>
                <w:tab w:val="left" w:pos="7260"/>
              </w:tabs>
              <w:spacing w:before="60" w:after="60"/>
              <w:jc w:val="center"/>
              <w:rPr>
                <w:rFonts w:ascii="Montserrat" w:eastAsia="Times New Roman" w:hAnsi="Montserrat" w:cs="Arial"/>
                <w:b/>
                <w:bCs/>
                <w:sz w:val="20"/>
                <w:szCs w:val="20"/>
              </w:rPr>
            </w:pPr>
            <w:r w:rsidRPr="00E859AF">
              <w:rPr>
                <w:rFonts w:ascii="Montserrat" w:eastAsia="Times New Roman" w:hAnsi="Montserrat" w:cs="Arial"/>
                <w:b/>
                <w:bCs/>
                <w:sz w:val="20"/>
                <w:szCs w:val="20"/>
              </w:rPr>
              <w:t>HRAA-</w:t>
            </w:r>
          </w:p>
        </w:tc>
        <w:tc>
          <w:tcPr>
            <w:tcW w:w="1721" w:type="dxa"/>
            <w:vAlign w:val="center"/>
          </w:tcPr>
          <w:p w14:paraId="1CDEA7C4"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Estable</w:t>
            </w:r>
          </w:p>
        </w:tc>
      </w:tr>
      <w:tr w:rsidR="002C1139" w:rsidRPr="00E859AF" w14:paraId="2D8CF491" w14:textId="77777777" w:rsidTr="007E0E5E">
        <w:trPr>
          <w:trHeight w:val="20"/>
        </w:trPr>
        <w:tc>
          <w:tcPr>
            <w:tcW w:w="1775" w:type="dxa"/>
            <w:vAlign w:val="center"/>
          </w:tcPr>
          <w:p w14:paraId="5DAA88B5"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proofErr w:type="spellStart"/>
            <w:r w:rsidRPr="00E859AF">
              <w:rPr>
                <w:rFonts w:ascii="Montserrat" w:eastAsia="Times New Roman" w:hAnsi="Montserrat" w:cs="Arial"/>
                <w:sz w:val="20"/>
                <w:szCs w:val="20"/>
              </w:rPr>
              <w:t>S&amp;Poor’s</w:t>
            </w:r>
            <w:proofErr w:type="spellEnd"/>
          </w:p>
        </w:tc>
        <w:tc>
          <w:tcPr>
            <w:tcW w:w="1735" w:type="dxa"/>
            <w:vAlign w:val="center"/>
          </w:tcPr>
          <w:p w14:paraId="724B7C1D"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‘mxA‘</w:t>
            </w:r>
          </w:p>
        </w:tc>
        <w:tc>
          <w:tcPr>
            <w:tcW w:w="1755" w:type="dxa"/>
            <w:vAlign w:val="center"/>
          </w:tcPr>
          <w:p w14:paraId="54E5681C"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Estable</w:t>
            </w:r>
          </w:p>
        </w:tc>
        <w:tc>
          <w:tcPr>
            <w:tcW w:w="1790" w:type="dxa"/>
            <w:vAlign w:val="center"/>
          </w:tcPr>
          <w:p w14:paraId="7FD7D282"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‘mxA’</w:t>
            </w:r>
          </w:p>
        </w:tc>
        <w:tc>
          <w:tcPr>
            <w:tcW w:w="1721" w:type="dxa"/>
            <w:vAlign w:val="center"/>
          </w:tcPr>
          <w:p w14:paraId="15B3CB5A"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Estable</w:t>
            </w:r>
          </w:p>
        </w:tc>
      </w:tr>
      <w:tr w:rsidR="002C1139" w:rsidRPr="00E859AF" w14:paraId="109F0E9D" w14:textId="77777777" w:rsidTr="007E0E5E">
        <w:trPr>
          <w:trHeight w:val="20"/>
        </w:trPr>
        <w:tc>
          <w:tcPr>
            <w:tcW w:w="1775" w:type="dxa"/>
            <w:vAlign w:val="center"/>
          </w:tcPr>
          <w:p w14:paraId="138F3359"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Fitch</w:t>
            </w:r>
          </w:p>
        </w:tc>
        <w:tc>
          <w:tcPr>
            <w:tcW w:w="1735" w:type="dxa"/>
            <w:vAlign w:val="center"/>
          </w:tcPr>
          <w:p w14:paraId="77B19A8C" w14:textId="77777777" w:rsidR="002C1139" w:rsidRPr="00E859AF" w:rsidRDefault="002C1139" w:rsidP="007E0E5E">
            <w:pPr>
              <w:keepLines/>
              <w:tabs>
                <w:tab w:val="left" w:pos="7260"/>
              </w:tabs>
              <w:spacing w:before="60" w:after="60"/>
              <w:jc w:val="center"/>
              <w:rPr>
                <w:rFonts w:ascii="Montserrat" w:eastAsia="Times New Roman" w:hAnsi="Montserrat" w:cs="Arial"/>
                <w:b/>
                <w:bCs/>
                <w:sz w:val="20"/>
                <w:szCs w:val="20"/>
              </w:rPr>
            </w:pPr>
            <w:r w:rsidRPr="00E859AF">
              <w:rPr>
                <w:rFonts w:ascii="Montserrat" w:eastAsia="Times New Roman" w:hAnsi="Montserrat" w:cs="Arial"/>
                <w:b/>
                <w:bCs/>
                <w:sz w:val="20"/>
                <w:szCs w:val="20"/>
              </w:rPr>
              <w:t>‘A(mex)’</w:t>
            </w:r>
          </w:p>
        </w:tc>
        <w:tc>
          <w:tcPr>
            <w:tcW w:w="1755" w:type="dxa"/>
            <w:vAlign w:val="center"/>
          </w:tcPr>
          <w:p w14:paraId="7382D60E"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Estable</w:t>
            </w:r>
          </w:p>
        </w:tc>
        <w:tc>
          <w:tcPr>
            <w:tcW w:w="1790" w:type="dxa"/>
            <w:vAlign w:val="center"/>
          </w:tcPr>
          <w:p w14:paraId="7D5AD82F" w14:textId="77777777" w:rsidR="002C1139" w:rsidRPr="00E859AF" w:rsidRDefault="002C1139" w:rsidP="007E0E5E">
            <w:pPr>
              <w:keepLines/>
              <w:tabs>
                <w:tab w:val="left" w:pos="7260"/>
              </w:tabs>
              <w:spacing w:before="60" w:after="60"/>
              <w:jc w:val="center"/>
              <w:rPr>
                <w:rFonts w:ascii="Montserrat" w:eastAsia="Times New Roman" w:hAnsi="Montserrat" w:cs="Arial"/>
                <w:b/>
                <w:bCs/>
                <w:sz w:val="20"/>
                <w:szCs w:val="20"/>
              </w:rPr>
            </w:pPr>
            <w:r w:rsidRPr="00E859AF">
              <w:rPr>
                <w:rFonts w:ascii="Montserrat" w:eastAsia="Times New Roman" w:hAnsi="Montserrat" w:cs="Arial"/>
                <w:b/>
                <w:bCs/>
                <w:sz w:val="20"/>
                <w:szCs w:val="20"/>
              </w:rPr>
              <w:t>‘A+(mex)’</w:t>
            </w:r>
          </w:p>
        </w:tc>
        <w:tc>
          <w:tcPr>
            <w:tcW w:w="1721" w:type="dxa"/>
            <w:vAlign w:val="center"/>
          </w:tcPr>
          <w:p w14:paraId="21248214" w14:textId="77777777" w:rsidR="002C1139" w:rsidRPr="00E859AF" w:rsidRDefault="002C1139" w:rsidP="007E0E5E">
            <w:pPr>
              <w:keepLines/>
              <w:tabs>
                <w:tab w:val="left" w:pos="7260"/>
              </w:tabs>
              <w:spacing w:before="60" w:after="60"/>
              <w:jc w:val="center"/>
              <w:rPr>
                <w:rFonts w:ascii="Montserrat" w:eastAsia="Times New Roman" w:hAnsi="Montserrat" w:cs="Arial"/>
                <w:b/>
                <w:bCs/>
                <w:sz w:val="20"/>
                <w:szCs w:val="20"/>
              </w:rPr>
            </w:pPr>
            <w:r w:rsidRPr="00E859AF">
              <w:rPr>
                <w:rFonts w:ascii="Montserrat" w:eastAsia="Times New Roman" w:hAnsi="Montserrat" w:cs="Arial"/>
                <w:b/>
                <w:bCs/>
                <w:sz w:val="20"/>
                <w:szCs w:val="20"/>
              </w:rPr>
              <w:t>Positiva</w:t>
            </w:r>
          </w:p>
        </w:tc>
      </w:tr>
      <w:tr w:rsidR="002C1139" w:rsidRPr="00E859AF" w14:paraId="230BCC9E" w14:textId="77777777" w:rsidTr="007E0E5E">
        <w:trPr>
          <w:trHeight w:val="20"/>
        </w:trPr>
        <w:tc>
          <w:tcPr>
            <w:tcW w:w="1775" w:type="dxa"/>
            <w:vAlign w:val="center"/>
          </w:tcPr>
          <w:p w14:paraId="41004C3E"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Moody’s</w:t>
            </w:r>
          </w:p>
        </w:tc>
        <w:tc>
          <w:tcPr>
            <w:tcW w:w="1735" w:type="dxa"/>
            <w:vAlign w:val="center"/>
          </w:tcPr>
          <w:p w14:paraId="4379AAA2"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(A-.mx)</w:t>
            </w:r>
          </w:p>
        </w:tc>
        <w:tc>
          <w:tcPr>
            <w:tcW w:w="1755" w:type="dxa"/>
            <w:vAlign w:val="center"/>
          </w:tcPr>
          <w:p w14:paraId="2D93E6F7"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Estable</w:t>
            </w:r>
          </w:p>
        </w:tc>
        <w:tc>
          <w:tcPr>
            <w:tcW w:w="1790" w:type="dxa"/>
            <w:vAlign w:val="center"/>
          </w:tcPr>
          <w:p w14:paraId="1E104A9A"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(A-.mx)</w:t>
            </w:r>
          </w:p>
        </w:tc>
        <w:tc>
          <w:tcPr>
            <w:tcW w:w="1721" w:type="dxa"/>
            <w:vAlign w:val="center"/>
          </w:tcPr>
          <w:p w14:paraId="720ACA9D"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Estable</w:t>
            </w:r>
          </w:p>
        </w:tc>
      </w:tr>
    </w:tbl>
    <w:bookmarkEnd w:id="5"/>
    <w:p w14:paraId="4DD49468" w14:textId="08921606"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w:t>
      </w:r>
      <w:r w:rsidR="008561F4" w:rsidRPr="00726BD5">
        <w:rPr>
          <w:rFonts w:ascii="Montserrat" w:eastAsia="Times New Roman" w:hAnsi="Montserrat" w:cs="Arial"/>
        </w:rPr>
        <w:t>l</w:t>
      </w:r>
      <w:r w:rsidRPr="00726BD5">
        <w:rPr>
          <w:rFonts w:ascii="Montserrat" w:eastAsia="Times New Roman" w:hAnsi="Montserrat" w:cs="Arial"/>
        </w:rPr>
        <w:t xml:space="preserve"> año 2024, para el Estado ha sido el mejor logro histórico en el avance de las calificaciones notificadas desde los años que se tiene registro.</w:t>
      </w:r>
    </w:p>
    <w:p w14:paraId="6F4E2E39"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No se había visto en años anteriores que se posicionara con las más altas calificaciones. Estándar &amp;Poor’s y Moody’s ratificaron su calificación. </w:t>
      </w:r>
    </w:p>
    <w:p w14:paraId="112AAFBD" w14:textId="75627C43" w:rsidR="002C1139" w:rsidRPr="00726BD5" w:rsidRDefault="002C1139" w:rsidP="007E0E5E">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HR </w:t>
      </w:r>
      <w:proofErr w:type="spellStart"/>
      <w:r w:rsidRPr="00726BD5">
        <w:rPr>
          <w:rFonts w:ascii="Montserrat" w:eastAsia="Times New Roman" w:hAnsi="Montserrat" w:cs="Arial"/>
        </w:rPr>
        <w:t>Rantings</w:t>
      </w:r>
      <w:proofErr w:type="spellEnd"/>
      <w:r w:rsidRPr="00726BD5">
        <w:rPr>
          <w:rFonts w:ascii="Montserrat" w:eastAsia="Times New Roman" w:hAnsi="Montserrat" w:cs="Arial"/>
        </w:rPr>
        <w:t xml:space="preserve"> y Fitch </w:t>
      </w:r>
      <w:proofErr w:type="spellStart"/>
      <w:r w:rsidRPr="00726BD5">
        <w:rPr>
          <w:rFonts w:ascii="Montserrat" w:eastAsia="Times New Roman" w:hAnsi="Montserrat" w:cs="Arial"/>
        </w:rPr>
        <w:t>Rantings</w:t>
      </w:r>
      <w:proofErr w:type="spellEnd"/>
      <w:r w:rsidRPr="00726BD5">
        <w:rPr>
          <w:rFonts w:ascii="Montserrat" w:eastAsia="Times New Roman" w:hAnsi="Montserrat" w:cs="Arial"/>
        </w:rPr>
        <w:t>, revisaron al alza la calificación. Las cuatro calificadoras emitieron la opinión que la perspectiva aceptable e inclusive una de ellas, con el sentido de llevar la calificación al siguiente nivel superior.</w:t>
      </w:r>
      <w:r w:rsidR="007E0E5E" w:rsidRPr="00726BD5">
        <w:rPr>
          <w:rFonts w:ascii="Montserrat" w:eastAsia="Times New Roman" w:hAnsi="Montserrat" w:cs="Arial"/>
        </w:rPr>
        <w:tab/>
      </w:r>
    </w:p>
    <w:p w14:paraId="2DA4A6D9"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Las opiniones de las agencias calificadoras son de importancia de tomarse en cuenta por los diagnósticos aportados sobre las fortalezas y debilidades de los resultados y perspectivas de una administración gubernamental. Además, de las sugerencias mediante observaciones que éstas proponen.</w:t>
      </w:r>
    </w:p>
    <w:bookmarkEnd w:id="4"/>
    <w:p w14:paraId="75925258"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fuerte inversión que se está canalizando en el sureste del país con el apoyo de la federación con el proyecto del Corredor Transístmico (Salina Cruz, Oaxaca-Coatzacoalcos, Veracruz). Detonará un desarrollo económico en esta región oaxaqueña, además, no solamente hará cambiar la perspectiva sino también la calificación.</w:t>
      </w:r>
    </w:p>
    <w:p w14:paraId="582C5DDF" w14:textId="77777777" w:rsidR="002C1139" w:rsidRPr="00726BD5" w:rsidRDefault="002C1139" w:rsidP="002C1139">
      <w:pPr>
        <w:tabs>
          <w:tab w:val="left" w:pos="7260"/>
        </w:tabs>
        <w:spacing w:before="240" w:after="240"/>
        <w:jc w:val="both"/>
        <w:rPr>
          <w:rFonts w:ascii="Montserrat" w:eastAsia="Times New Roman" w:hAnsi="Montserrat" w:cs="Arial"/>
        </w:rPr>
      </w:pPr>
      <w:bookmarkStart w:id="6" w:name="_Hlk186791877"/>
      <w:r w:rsidRPr="00726BD5">
        <w:rPr>
          <w:rFonts w:ascii="Montserrat" w:eastAsia="Times New Roman" w:hAnsi="Montserrat" w:cs="Arial"/>
        </w:rPr>
        <w:t>Las mejores condiciones observadas para el otorgamiento de la calificación soberana del Estado y los buenos términos de la perspectiva de la misma. Las agencias se basaron en las siguientes fortalezas:</w:t>
      </w:r>
    </w:p>
    <w:p w14:paraId="391A2228" w14:textId="77777777" w:rsidR="002C1139" w:rsidRPr="00726BD5"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lastRenderedPageBreak/>
        <w:t>Mejora en el perfil de endeudamiento. El Estado no contrató financiamiento de corto ni lago plazos durante los años de esta administración.</w:t>
      </w:r>
    </w:p>
    <w:p w14:paraId="3A9D32D2" w14:textId="77777777" w:rsidR="002C1139" w:rsidRPr="00726BD5"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 xml:space="preserve">El perfil y la estructura favorable de la deuda directa de largo plazo y sostenibilidad adecuada. Se considera que el endeudamiento del Estado como moderado y decreciente, en relación con su capacidad financiera y manejable para la entidad en el largo plazo. </w:t>
      </w:r>
    </w:p>
    <w:p w14:paraId="3BB37768" w14:textId="77777777" w:rsidR="002C1139" w:rsidRPr="00726BD5"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La deuda pública a largo plazo está respaldada con operaciones de coberturas financieras (Swap).</w:t>
      </w:r>
    </w:p>
    <w:p w14:paraId="6EF8B7CE" w14:textId="77777777" w:rsidR="002C1139" w:rsidRPr="00726BD5"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Superávit en el Balance Primario.</w:t>
      </w:r>
    </w:p>
    <w:p w14:paraId="56B050AC" w14:textId="77777777" w:rsidR="002C1139" w:rsidRPr="00726BD5"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Bajo Pasivo Circulante.</w:t>
      </w:r>
    </w:p>
    <w:p w14:paraId="3AE1488E" w14:textId="77777777" w:rsidR="007E0E5E" w:rsidRPr="00726BD5" w:rsidRDefault="002C1139" w:rsidP="001E14CB">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Políticas fiscales y administrativas para mantener e incrementar los niveles de recaudación local.</w:t>
      </w:r>
    </w:p>
    <w:p w14:paraId="1FDEAC23" w14:textId="6E5B2D2F" w:rsidR="002C1139" w:rsidRPr="00726BD5" w:rsidRDefault="002C1139" w:rsidP="001E14CB">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La generación adecuada de ahorro interno.</w:t>
      </w:r>
    </w:p>
    <w:p w14:paraId="3C7E783B" w14:textId="77777777" w:rsidR="002C1139" w:rsidRPr="00726BD5"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Posición de liquidez adecuada.</w:t>
      </w:r>
    </w:p>
    <w:p w14:paraId="5AD74E24" w14:textId="77777777" w:rsidR="002C1139" w:rsidRPr="00726BD5"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 xml:space="preserve">Márgenes operativos positivos </w:t>
      </w:r>
      <w:bookmarkEnd w:id="6"/>
    </w:p>
    <w:p w14:paraId="10DDABB3"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Las opiniones siguientes son tomadas de los reportes que las diferentes agencias calificadoras que emiten para el conocimiento del interés público dadas a conocer en la página de la Secretaría de Finanzas.</w:t>
      </w:r>
    </w:p>
    <w:p w14:paraId="50B2B725" w14:textId="77777777"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 xml:space="preserve">HR RATINGS (noviembre 06, 2024).  </w:t>
      </w:r>
    </w:p>
    <w:p w14:paraId="06052FBB"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HR Ratings revisó al alza la calificación soberana del Estado de Oaxaca, de HR A+ a HR AA- con Perspectiva Estable. Es una buena nota que refrenda los resultados de las gestiones realizadas durante el periodo 2023 y primer semestre de 2024. La opinión de la calificadora se concreta en los siguientes términos:</w:t>
      </w:r>
    </w:p>
    <w:p w14:paraId="25339206" w14:textId="24E4C75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“La revisión al alza obedece a una reducción observada y estimada en el nivel de Deuda Neta Ajustada (DNA) del Estado como resultado de una adecuada posición de liquidez, así como a una tendencia positiva en la generación de Ingresos de Libre Disposición (ILD). Para los próximos años, se espera que se mantenga un crecimiento en los ILD, en línea con un comportamiento esperado de las Participaciones Federales, aunado a diversas acciones de fiscalización en donde se destaca una mayor vigilancia en el cobro de contribuyentes rezagados por medio del envío de cartas invitación, así como a la expectativa de que se lleve a cabo un proceso de reemplazamiento.”  HR estima que, con estas medias programadas, el </w:t>
      </w:r>
      <w:r w:rsidRPr="00726BD5">
        <w:rPr>
          <w:rFonts w:ascii="Montserrat" w:eastAsia="Times New Roman" w:hAnsi="Montserrat" w:cs="Arial"/>
        </w:rPr>
        <w:lastRenderedPageBreak/>
        <w:t xml:space="preserve">Estado contará con una liquidez para no contratar financiamiento a corto plazo. </w:t>
      </w:r>
    </w:p>
    <w:p w14:paraId="2B5BE6F6" w14:textId="1F142F0F"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Factores que podrían subir la calificación:</w:t>
      </w:r>
    </w:p>
    <w:p w14:paraId="7FB83B50" w14:textId="77777777" w:rsidR="002C1139" w:rsidRPr="00726BD5"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 xml:space="preserve">Reducción del endeudamiento relativo. Un aumento superior a lo estimado en los Ingresos de Libre Dispersión (IDL) y/o un menos Gasto Corriente podría reflejarse en un resultado fiscal superior al proyectado. Además, podría mejorar la calificación si la Deuda Neta Ajusta en función al Ingreso de Libre Disposición se redujera menor del 30.00 %. Para 2024 es 39.6 %. </w:t>
      </w:r>
    </w:p>
    <w:p w14:paraId="77D76B11"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Factores que podrían bajar la calificación:</w:t>
      </w:r>
    </w:p>
    <w:p w14:paraId="1E33629D" w14:textId="77777777" w:rsidR="002C1139" w:rsidRPr="00726BD5"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En caso de que se registre un déficit fiscal superior a lo esperado por una reducción de los Ingresos Libre Dispersión o un mayor Gasto Corriente, que afectaría la liquidez que llegaría a cubrirse con la contratación de financiamiento a corto plazo y al incremento del pasivo circulante. Resultados fiscales inferiores y un aumento en las métricas de endeudamiento. Una reducción de los Ingresos. La métrica PC/ILD se mayor del 28.0 %. Para 2024 se espera un promedio de 13.7 %.</w:t>
      </w:r>
    </w:p>
    <w:p w14:paraId="345AE931" w14:textId="77777777"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MOODY'S (noviembre 28, 2024).</w:t>
      </w:r>
    </w:p>
    <w:p w14:paraId="1EB0D392"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agencia calificadora Moody's, ratifica la calificación de riesgo crediticio de la deuda del estado de Oaxaca de A-</w:t>
      </w:r>
      <w:proofErr w:type="spellStart"/>
      <w:r w:rsidRPr="00726BD5">
        <w:rPr>
          <w:rFonts w:ascii="Montserrat" w:eastAsia="Times New Roman" w:hAnsi="Montserrat" w:cs="Arial"/>
        </w:rPr>
        <w:t>mx</w:t>
      </w:r>
      <w:proofErr w:type="spellEnd"/>
      <w:r w:rsidRPr="00726BD5">
        <w:rPr>
          <w:rFonts w:ascii="Montserrat" w:eastAsia="Times New Roman" w:hAnsi="Montserrat" w:cs="Arial"/>
        </w:rPr>
        <w:t xml:space="preserve">. con la Perspectiva a Estable. </w:t>
      </w:r>
    </w:p>
    <w:p w14:paraId="2944B47E" w14:textId="48604BE6" w:rsidR="002C1139" w:rsidRPr="00726BD5" w:rsidRDefault="002C1139" w:rsidP="007E0E5E">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Moody´s confirma la calificación del Estado de Oaxaca, porque refleja una mejora en los balances operativos y financieros observada durante los últimos ejercicios, la cual ha conducido a un fortalecimiento en liquidez y en el perfil de la deuda. Hace la observación positiva sobre la tendencia hacia la baja de la deuda pública con la eliminación de uso de la deuda de corto. </w:t>
      </w:r>
    </w:p>
    <w:p w14:paraId="4BCD13F6" w14:textId="77777777"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Fortalezas crediticias:</w:t>
      </w:r>
    </w:p>
    <w:p w14:paraId="15839FD2" w14:textId="77777777" w:rsidR="002C1139" w:rsidRPr="00726BD5"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Posición de liquidez.</w:t>
      </w:r>
    </w:p>
    <w:p w14:paraId="7596F62E" w14:textId="77777777" w:rsidR="002C1139" w:rsidRPr="00726BD5"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Mejora en el perfil de endeudamiento.</w:t>
      </w:r>
    </w:p>
    <w:p w14:paraId="3B6F3A13" w14:textId="77777777" w:rsidR="002C1139" w:rsidRPr="00726BD5"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Márgenes operativos positivos.</w:t>
      </w:r>
    </w:p>
    <w:p w14:paraId="3513AC04" w14:textId="77777777"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lastRenderedPageBreak/>
        <w:t>Debilidades crediticias:</w:t>
      </w:r>
    </w:p>
    <w:p w14:paraId="4EBAE95F" w14:textId="77777777" w:rsidR="002C1139" w:rsidRPr="00726BD5" w:rsidRDefault="002C1139" w:rsidP="007E0E5E">
      <w:pPr>
        <w:pStyle w:val="Prrafodelista"/>
        <w:numPr>
          <w:ilvl w:val="0"/>
          <w:numId w:val="31"/>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Baja recaudación de ingresos propios.</w:t>
      </w:r>
    </w:p>
    <w:p w14:paraId="7397CC22" w14:textId="77777777" w:rsidR="002C1139" w:rsidRPr="00726BD5" w:rsidRDefault="002C1139" w:rsidP="007E0E5E">
      <w:pPr>
        <w:pStyle w:val="Prrafodelista"/>
        <w:numPr>
          <w:ilvl w:val="0"/>
          <w:numId w:val="31"/>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Pasivos no fondeados por pensiones y otros adeudos.</w:t>
      </w:r>
    </w:p>
    <w:p w14:paraId="217F2066" w14:textId="77777777" w:rsidR="002C1139" w:rsidRPr="00726BD5" w:rsidRDefault="002C1139" w:rsidP="007E0E5E">
      <w:pPr>
        <w:pStyle w:val="Prrafodelista"/>
        <w:numPr>
          <w:ilvl w:val="0"/>
          <w:numId w:val="31"/>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Presiones en el gasto social y el gasto de capital.</w:t>
      </w:r>
    </w:p>
    <w:p w14:paraId="250AC033" w14:textId="77777777"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Factores que pueden generar una mejora de la calificación:</w:t>
      </w:r>
    </w:p>
    <w:p w14:paraId="287C2185" w14:textId="77777777" w:rsidR="002C1139" w:rsidRPr="00726BD5" w:rsidRDefault="002C1139" w:rsidP="007E0E5E">
      <w:pPr>
        <w:pStyle w:val="Prrafodelista"/>
        <w:numPr>
          <w:ilvl w:val="0"/>
          <w:numId w:val="32"/>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Fortalecimiento de balances operativos y financieros.</w:t>
      </w:r>
    </w:p>
    <w:p w14:paraId="3D1EBF9C" w14:textId="77777777" w:rsidR="002C1139" w:rsidRPr="00726BD5" w:rsidRDefault="002C1139" w:rsidP="007E0E5E">
      <w:pPr>
        <w:pStyle w:val="Prrafodelista"/>
        <w:numPr>
          <w:ilvl w:val="0"/>
          <w:numId w:val="32"/>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Eliminación de adeudos con el gobierno federal.</w:t>
      </w:r>
    </w:p>
    <w:p w14:paraId="5FA9AAC6" w14:textId="77777777" w:rsidR="002C1139" w:rsidRPr="00726BD5" w:rsidRDefault="002C1139" w:rsidP="007E0E5E">
      <w:pPr>
        <w:pStyle w:val="Prrafodelista"/>
        <w:numPr>
          <w:ilvl w:val="0"/>
          <w:numId w:val="32"/>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Mantener el saldo de deuda de corto plazo en cero.</w:t>
      </w:r>
    </w:p>
    <w:p w14:paraId="0B094560" w14:textId="77777777"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Factores que pueden generar un deterioro de la calificación:</w:t>
      </w:r>
    </w:p>
    <w:p w14:paraId="7DB72660" w14:textId="77777777" w:rsidR="002C1139" w:rsidRPr="00726BD5" w:rsidRDefault="002C1139" w:rsidP="007E0E5E">
      <w:pPr>
        <w:pStyle w:val="Prrafodelista"/>
        <w:numPr>
          <w:ilvl w:val="0"/>
          <w:numId w:val="35"/>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Un deterioro mayor al respecto en los resultados operativos y financieros.</w:t>
      </w:r>
    </w:p>
    <w:p w14:paraId="76481B0C" w14:textId="77777777" w:rsidR="002C1139" w:rsidRPr="00726BD5" w:rsidRDefault="002C1139" w:rsidP="007E0E5E">
      <w:pPr>
        <w:pStyle w:val="Prrafodelista"/>
        <w:numPr>
          <w:ilvl w:val="0"/>
          <w:numId w:val="35"/>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Una fuerte caída en la posición de liquidez.</w:t>
      </w:r>
    </w:p>
    <w:p w14:paraId="47428409" w14:textId="77777777" w:rsidR="002C1139" w:rsidRPr="00726BD5" w:rsidRDefault="002C1139" w:rsidP="007E0E5E">
      <w:pPr>
        <w:pStyle w:val="Prrafodelista"/>
        <w:numPr>
          <w:ilvl w:val="0"/>
          <w:numId w:val="35"/>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Contratación de deuda de corto plazo.</w:t>
      </w:r>
    </w:p>
    <w:p w14:paraId="5DD01DAB" w14:textId="77777777"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Perspectivas:</w:t>
      </w:r>
    </w:p>
    <w:p w14:paraId="1E5ECFA3"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perspectiva de la calificación es estable y refleja nuestra expectativa de que Oaxaca reportará una reducción en sus resultados operativos y que los mismos se mantendrán positivos, déficits financieros limitados y un controlado descenso en la liquidez, sin necesidad de contratar deuda a corto plazo.” (Moody’s).</w:t>
      </w:r>
    </w:p>
    <w:p w14:paraId="45568010" w14:textId="77777777"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STANDARD &amp; POOR’S (septiembre 23, 2024)</w:t>
      </w:r>
    </w:p>
    <w:p w14:paraId="02430686"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La Institución Calificadora de Valores Standard &amp; Poor’s Global </w:t>
      </w:r>
      <w:proofErr w:type="spellStart"/>
      <w:r w:rsidRPr="00726BD5">
        <w:rPr>
          <w:rFonts w:ascii="Montserrat" w:eastAsia="Times New Roman" w:hAnsi="Montserrat" w:cs="Arial"/>
        </w:rPr>
        <w:t>Rantings</w:t>
      </w:r>
      <w:proofErr w:type="spellEnd"/>
      <w:r w:rsidRPr="00726BD5">
        <w:rPr>
          <w:rFonts w:ascii="Montserrat" w:eastAsia="Times New Roman" w:hAnsi="Montserrat" w:cs="Arial"/>
        </w:rPr>
        <w:t>, en esta reciente revisión 2024, confirmó la calificación para el Estado de Oaxaca a ‘mxA‘, así mismo, la Perspectiva la mantiene en Estable. Esta notificación, robustece la confianza crediticia hacia el Estado.</w:t>
      </w:r>
    </w:p>
    <w:p w14:paraId="0DF5E283" w14:textId="3A5AF8B5" w:rsidR="002C1139" w:rsidRPr="00726BD5" w:rsidRDefault="002C1139" w:rsidP="007E0E5E">
      <w:pPr>
        <w:tabs>
          <w:tab w:val="left" w:pos="3151"/>
        </w:tabs>
        <w:spacing w:before="240" w:after="240"/>
        <w:jc w:val="both"/>
        <w:rPr>
          <w:rFonts w:ascii="Montserrat" w:eastAsia="Times New Roman" w:hAnsi="Montserrat" w:cs="Arial"/>
        </w:rPr>
      </w:pPr>
      <w:r w:rsidRPr="00726BD5">
        <w:rPr>
          <w:rFonts w:ascii="Montserrat" w:eastAsia="Times New Roman" w:hAnsi="Montserrat" w:cs="Arial"/>
        </w:rPr>
        <w:t xml:space="preserve">La institución calificadora fundamenta su criterio de ratificar la calificación crediticia del Estado de Oaxaca, considerando los siguientes aspectos: la presente administración financiera mantendrá resultados fiscales balanceados, que limitaría las necesidades de financiamiento a corto plazo, el impacto positivo de los proyectos que ejecute el gobierno federal en la economía general y en los ingresos locales mediante transferencias federales. Así mismo, contempla que esta administración manga sus </w:t>
      </w:r>
      <w:r w:rsidRPr="00726BD5">
        <w:rPr>
          <w:rFonts w:ascii="Montserrat" w:eastAsia="Times New Roman" w:hAnsi="Montserrat" w:cs="Arial"/>
        </w:rPr>
        <w:lastRenderedPageBreak/>
        <w:t>niveles bajos de endeudamiento. La dependencia de las transferencias federales de gasto se mantendrá relativamente altas y la posición de liquidez del estado está sujeta a volatilidad. La ratificación de la calificación, la calificadora incorpora el nivel de un perfil socioeconómico más débil comparado con el promedio nacional.</w:t>
      </w:r>
    </w:p>
    <w:p w14:paraId="60EF92D8"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En un escenario para que diera pauta que la calificadora llegara a bajar la calificación sería que el desempeño presupuestal se llega deteriorar debido a una presión del gasto mayor a la esperada o menor dinamismo de los ingresos, que llegara a derivar u déficits después de gasto de inversión mayores a 5 % de sus ingresos totales que provocaría un deterioro marcado en la posición financiera de liquidez o a requerir a la contratación de un financiamiento a corto plazo.</w:t>
      </w:r>
    </w:p>
    <w:p w14:paraId="1A1B5DFA"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Para que la calificadora tomara la decisión de subir la calificación de riesgo crediticia soberana al Estado, tendría que observar un crecimiento económico por encima del de sus pares nacionales e internacionales que llegara a tener una incidencia en mejora del ingreso per cápita. </w:t>
      </w:r>
    </w:p>
    <w:p w14:paraId="65A5D4BD" w14:textId="77777777"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FITCH RATINGS (octubre 28, 2024).</w:t>
      </w:r>
    </w:p>
    <w:p w14:paraId="007F3737"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Fitch Ratings subió la calificación nacional de largo plazo del Estado de Oaxaca a ‘A+(mex)’ Perspectiva Positiva de ‘A (mex)’ Perspectiva Estable.</w:t>
      </w:r>
    </w:p>
    <w:p w14:paraId="6775A53C"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Esta Institución Calificadora de Valores, considera que el alza de la calificación es debido por la recuperación en el Balance Operativo (BO) observado en 2022 y 2023 consecutivamente. Además, en su observación sobre el proceso de refinanciamiento, en mejores condiciones crediticias, de la mayor parte de la de la deuda pública del estado, permitiendo mejorar la posición de liquidez del estado e inclusive cerrar el ejercicio fiscal sin contratación de deuda de corto plazo. Así mismo, permitió que las métricas del pago y cobertura real del servicio de la deuda (CRSD) comparan en línea con entidades calificadas en ´A+(</w:t>
      </w:r>
      <w:proofErr w:type="spellStart"/>
      <w:r w:rsidRPr="00726BD5">
        <w:rPr>
          <w:rFonts w:ascii="Montserrat" w:eastAsia="Times New Roman" w:hAnsi="Montserrat" w:cs="Arial"/>
        </w:rPr>
        <w:t>mx</w:t>
      </w:r>
      <w:proofErr w:type="spellEnd"/>
      <w:r w:rsidRPr="00726BD5">
        <w:rPr>
          <w:rFonts w:ascii="Montserrat" w:eastAsia="Times New Roman" w:hAnsi="Montserrat" w:cs="Arial"/>
        </w:rPr>
        <w:t>)´.</w:t>
      </w:r>
    </w:p>
    <w:p w14:paraId="626B888F"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Perspectiva Positiva refleja la expectativa de Fitch que el desempeño financiero de la entidad se mantendrá fortalecido y, que en caso de que la liquidez siga elevada, podría derivar en revaluación del perfil del riesgo a ´Rango Medio Bajo’ desde ‘Más Débil’” Tomado textualmente por el significado de la opinión de la calificadora Fitch.</w:t>
      </w:r>
    </w:p>
    <w:p w14:paraId="2F26E83F" w14:textId="37B3210F" w:rsidR="002C1139" w:rsidRPr="00726BD5" w:rsidRDefault="007F502C" w:rsidP="007F502C">
      <w:pPr>
        <w:rPr>
          <w:rFonts w:ascii="Montserrat" w:eastAsia="Times New Roman" w:hAnsi="Montserrat" w:cs="Arial"/>
          <w:b/>
          <w:bCs/>
        </w:rPr>
      </w:pPr>
      <w:r w:rsidRPr="00726BD5">
        <w:rPr>
          <w:rFonts w:ascii="Montserrat" w:eastAsia="Times New Roman" w:hAnsi="Montserrat" w:cs="Arial"/>
          <w:b/>
          <w:bCs/>
        </w:rPr>
        <w:br w:type="page"/>
      </w:r>
      <w:r w:rsidR="002C1139" w:rsidRPr="00726BD5">
        <w:rPr>
          <w:rFonts w:ascii="Montserrat" w:eastAsia="Times New Roman" w:hAnsi="Montserrat" w:cs="Arial"/>
          <w:b/>
          <w:bCs/>
        </w:rPr>
        <w:lastRenderedPageBreak/>
        <w:t xml:space="preserve">CONCLUSIÓN: </w:t>
      </w:r>
    </w:p>
    <w:p w14:paraId="151ADD63"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nivel de aceptación declarado por las agencias calificadoras en su última revisión en el año 2024, es que, en este año, ha sido el mejor registro comparado con los datos históricos de hace muchos años (2005-2024).</w:t>
      </w:r>
    </w:p>
    <w:p w14:paraId="42ABDFC8"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Aún más, en esta revisión, de las calificadoras HR </w:t>
      </w:r>
      <w:proofErr w:type="spellStart"/>
      <w:r w:rsidRPr="00726BD5">
        <w:rPr>
          <w:rFonts w:ascii="Montserrat" w:eastAsia="Times New Roman" w:hAnsi="Montserrat" w:cs="Arial"/>
        </w:rPr>
        <w:t>Rantins</w:t>
      </w:r>
      <w:proofErr w:type="spellEnd"/>
      <w:r w:rsidRPr="00726BD5">
        <w:rPr>
          <w:rFonts w:ascii="Montserrat" w:eastAsia="Times New Roman" w:hAnsi="Montserrat" w:cs="Arial"/>
        </w:rPr>
        <w:t xml:space="preserve"> y Fitch </w:t>
      </w:r>
      <w:proofErr w:type="spellStart"/>
      <w:r w:rsidRPr="00726BD5">
        <w:rPr>
          <w:rFonts w:ascii="Montserrat" w:eastAsia="Times New Roman" w:hAnsi="Montserrat" w:cs="Arial"/>
        </w:rPr>
        <w:t>Raintings</w:t>
      </w:r>
      <w:proofErr w:type="spellEnd"/>
      <w:r w:rsidRPr="00726BD5">
        <w:rPr>
          <w:rFonts w:ascii="Montserrat" w:eastAsia="Times New Roman" w:hAnsi="Montserrat" w:cs="Arial"/>
        </w:rPr>
        <w:t xml:space="preserve">, modificaron su calificación con respecto a 2023 en siguiente nivel superior inmediato. HR </w:t>
      </w:r>
      <w:proofErr w:type="spellStart"/>
      <w:r w:rsidRPr="00726BD5">
        <w:rPr>
          <w:rFonts w:ascii="Montserrat" w:eastAsia="Times New Roman" w:hAnsi="Montserrat" w:cs="Arial"/>
        </w:rPr>
        <w:t>Rantings</w:t>
      </w:r>
      <w:proofErr w:type="spellEnd"/>
      <w:r w:rsidRPr="00726BD5">
        <w:rPr>
          <w:rFonts w:ascii="Montserrat" w:eastAsia="Times New Roman" w:hAnsi="Montserrat" w:cs="Arial"/>
        </w:rPr>
        <w:t xml:space="preserve"> de HR A+ a HR AA con Perspectiva Estable. Fitch </w:t>
      </w:r>
      <w:proofErr w:type="spellStart"/>
      <w:r w:rsidRPr="00726BD5">
        <w:rPr>
          <w:rFonts w:ascii="Montserrat" w:eastAsia="Times New Roman" w:hAnsi="Montserrat" w:cs="Arial"/>
        </w:rPr>
        <w:t>Rantings</w:t>
      </w:r>
      <w:proofErr w:type="spellEnd"/>
      <w:r w:rsidRPr="00726BD5">
        <w:rPr>
          <w:rFonts w:ascii="Montserrat" w:eastAsia="Times New Roman" w:hAnsi="Montserrat" w:cs="Arial"/>
        </w:rPr>
        <w:t xml:space="preserve"> de ‘A (mex)’ Perspectiva Estable a ‘A+(mex)’ perspectiva Positiva. </w:t>
      </w:r>
    </w:p>
    <w:p w14:paraId="70D14D6E"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Las cuatro agencias calificadoras en términos generales y particulares sostienen al cierre del cuarto trimestre de 2024, la opinión de que el Estado cumple con sus obligaciones financieras ante cualquier adversidad económica, social y de estrés económico. Así mismo, es relevante que sigan observando que esta administración continua con los mismos propósitos del inicio de su gobierno, de no contratar financiamientos de ningún plazo, ajustarse en el gasto e incremento del ingreso propio, puntos de lo más relevantes.   Lo antes dicho, el Estado, refrenda una buena imagen ante las instituciones financieras, inversionistas y la sociedad oaxaqueña en general. </w:t>
      </w:r>
    </w:p>
    <w:p w14:paraId="5F4081F5"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Se debe tener presente que las calificaciones también tienen injerencia en el servicio de la deuda, con efecto de subir o bajar el monto. La particularidad en este aspecto, el servicio de la deuda del Gobierno del Estado de Oaxaca se ha mantenido estable.</w:t>
      </w:r>
    </w:p>
    <w:p w14:paraId="7FA1A6F0"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interpretación del significado de las calificaciones es: el Estado de Oaxaca presenta una sólida capacidad de pago de intereses, así como del principal y es poco susceptible a cambios económicos, cuyo significado se traduce que el Estado ofrece seguridad para el pago de sus obligaciones contratadas, en otras palabras, las calificaciones emitidas, reflejan bajo riesgo y certeza de cumplimiento en todo momento.</w:t>
      </w:r>
    </w:p>
    <w:p w14:paraId="7B633E52" w14:textId="77777777" w:rsidR="00B0059B" w:rsidRPr="00726BD5" w:rsidRDefault="00B0059B" w:rsidP="00DA40B0">
      <w:pPr>
        <w:pStyle w:val="Prrafodelista"/>
        <w:keepNext/>
        <w:widowControl w:val="0"/>
        <w:numPr>
          <w:ilvl w:val="0"/>
          <w:numId w:val="38"/>
        </w:numPr>
        <w:ind w:left="425" w:hanging="425"/>
        <w:jc w:val="both"/>
        <w:rPr>
          <w:rFonts w:ascii="Montserrat" w:hAnsi="Montserrat"/>
          <w:b/>
          <w:sz w:val="24"/>
          <w:szCs w:val="24"/>
        </w:rPr>
      </w:pPr>
      <w:r w:rsidRPr="00726BD5">
        <w:rPr>
          <w:rFonts w:ascii="Montserrat" w:hAnsi="Montserrat"/>
          <w:b/>
          <w:sz w:val="24"/>
          <w:szCs w:val="24"/>
        </w:rPr>
        <w:t>Proceso de Mejora</w:t>
      </w:r>
    </w:p>
    <w:p w14:paraId="295AB94A"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La Ley Orgánica del Poder Ejecutivo indica que es responsabilidad de los titulares de las Dependencias que conforman el Poder Ejecutivo, la emisión de sus Manuales de Organización y de Procedimientos necesarios para su funcionamiento, siendo por ende responsables de establecer y mantener el Control Interno Institucional necesario para canalizar las actividades </w:t>
      </w:r>
      <w:r w:rsidRPr="00726BD5">
        <w:rPr>
          <w:rFonts w:ascii="Montserrat" w:eastAsia="Times New Roman" w:hAnsi="Montserrat" w:cs="Arial"/>
        </w:rPr>
        <w:lastRenderedPageBreak/>
        <w:t>hacia el logro de sus objetivos y metas, evaluar y supervisar su funcionamiento y emitir las acciones para su mejora continua.</w:t>
      </w:r>
    </w:p>
    <w:p w14:paraId="18831C22" w14:textId="77777777" w:rsidR="00B0059B" w:rsidRPr="00726BD5" w:rsidRDefault="00B0059B" w:rsidP="00B0059B">
      <w:pPr>
        <w:tabs>
          <w:tab w:val="left" w:pos="7260"/>
        </w:tabs>
        <w:jc w:val="both"/>
        <w:rPr>
          <w:rFonts w:ascii="Montserrat" w:eastAsia="Times New Roman" w:hAnsi="Montserrat" w:cs="Arial"/>
        </w:rPr>
      </w:pPr>
    </w:p>
    <w:p w14:paraId="0678CE20" w14:textId="61EC8511" w:rsidR="001B0EE1" w:rsidRPr="00726BD5" w:rsidRDefault="00B0059B" w:rsidP="00882EAC">
      <w:pPr>
        <w:tabs>
          <w:tab w:val="left" w:pos="7260"/>
        </w:tabs>
        <w:jc w:val="both"/>
        <w:rPr>
          <w:rFonts w:ascii="Montserrat" w:eastAsia="Times New Roman" w:hAnsi="Montserrat" w:cs="Arial"/>
        </w:rPr>
      </w:pPr>
      <w:r w:rsidRPr="00726BD5">
        <w:rPr>
          <w:rFonts w:ascii="Montserrat" w:eastAsia="Times New Roman" w:hAnsi="Montserrat" w:cs="Arial"/>
        </w:rPr>
        <w:t xml:space="preserve">La Secretaría de Administración, </w:t>
      </w:r>
      <w:r w:rsidR="008561F4" w:rsidRPr="00726BD5">
        <w:rPr>
          <w:rFonts w:ascii="Montserrat" w:eastAsia="Times New Roman" w:hAnsi="Montserrat" w:cs="Arial"/>
        </w:rPr>
        <w:t>concluyó</w:t>
      </w:r>
      <w:r w:rsidRPr="00726BD5">
        <w:rPr>
          <w:rFonts w:ascii="Montserrat" w:eastAsia="Times New Roman" w:hAnsi="Montserrat" w:cs="Arial"/>
        </w:rPr>
        <w:t xml:space="preserve"> la modernización del Sistema Integral de Control Patrimonial (SICIPO), mismo que tiene como principal objetivo lograr la eficiencia en la administración de los bienes muebles e inmuebles propiedad del Estado, mismo que se </w:t>
      </w:r>
      <w:r w:rsidR="006C4CF8" w:rsidRPr="00726BD5">
        <w:rPr>
          <w:rFonts w:ascii="Montserrat" w:eastAsia="Times New Roman" w:hAnsi="Montserrat" w:cs="Arial"/>
        </w:rPr>
        <w:t>denomina Sistema de Inventarios Integral de Oaxaca (SIIO).</w:t>
      </w:r>
    </w:p>
    <w:p w14:paraId="1C42F37D" w14:textId="77777777" w:rsidR="00882EAC" w:rsidRPr="00726BD5" w:rsidRDefault="00882EAC" w:rsidP="00882EAC">
      <w:pPr>
        <w:tabs>
          <w:tab w:val="left" w:pos="7260"/>
        </w:tabs>
        <w:jc w:val="both"/>
        <w:rPr>
          <w:rFonts w:ascii="Montserrat" w:eastAsia="Times New Roman" w:hAnsi="Montserrat" w:cs="Arial"/>
        </w:rPr>
      </w:pPr>
    </w:p>
    <w:p w14:paraId="63886655"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Por lo que corresponde al Sistema Estatal de Finanzas Púbicas (SEFIP), sistema con el que se registra y controla toda la información contable y presupuestal, la Secretaría de Finanzas por medio de la Dirección de Contabilidad Gubernamental y la Dirección de Tecnologías de Información, implementará mejoras en la funcionalidad de dicho sistema, beneficiando la operación y la emisión de información financiera, presupuestal y contable. </w:t>
      </w:r>
    </w:p>
    <w:p w14:paraId="6CA9BCD4" w14:textId="77777777" w:rsidR="004B3002" w:rsidRPr="00726BD5" w:rsidRDefault="004B3002" w:rsidP="00B0059B">
      <w:pPr>
        <w:tabs>
          <w:tab w:val="left" w:pos="7260"/>
        </w:tabs>
        <w:jc w:val="both"/>
        <w:rPr>
          <w:rFonts w:ascii="Montserrat" w:eastAsia="Times New Roman" w:hAnsi="Montserrat" w:cs="Arial"/>
        </w:rPr>
      </w:pPr>
    </w:p>
    <w:p w14:paraId="22106ADB" w14:textId="77777777" w:rsidR="00B0059B" w:rsidRPr="00726BD5" w:rsidRDefault="00B0059B" w:rsidP="00DA40B0">
      <w:pPr>
        <w:pStyle w:val="Prrafodelista"/>
        <w:widowControl w:val="0"/>
        <w:numPr>
          <w:ilvl w:val="0"/>
          <w:numId w:val="38"/>
        </w:numPr>
        <w:ind w:left="426" w:hanging="426"/>
        <w:jc w:val="both"/>
        <w:rPr>
          <w:rFonts w:ascii="Montserrat" w:hAnsi="Montserrat"/>
          <w:b/>
          <w:sz w:val="24"/>
          <w:szCs w:val="24"/>
        </w:rPr>
      </w:pPr>
      <w:r w:rsidRPr="00726BD5">
        <w:rPr>
          <w:rFonts w:ascii="Montserrat" w:hAnsi="Montserrat"/>
          <w:b/>
          <w:sz w:val="24"/>
          <w:szCs w:val="24"/>
        </w:rPr>
        <w:t>Información por Segmentos</w:t>
      </w:r>
    </w:p>
    <w:p w14:paraId="6AE017BE"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31 de Diciembre de 2008 fue publicada en el Diario Oficial de la Federación, la Ley General de Contabilidad Gubernamental que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 Dicha Ley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14:paraId="31FBB91A" w14:textId="77777777" w:rsidR="00B0059B" w:rsidRPr="00726BD5" w:rsidRDefault="00B0059B" w:rsidP="00B0059B">
      <w:pPr>
        <w:tabs>
          <w:tab w:val="left" w:pos="7260"/>
        </w:tabs>
        <w:jc w:val="both"/>
        <w:rPr>
          <w:rFonts w:ascii="Montserrat" w:eastAsia="Times New Roman" w:hAnsi="Montserrat" w:cs="Arial"/>
        </w:rPr>
      </w:pPr>
    </w:p>
    <w:p w14:paraId="20F8F5A3"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Por lo anterior, la información del Poder Ejecutivo se apega a los lineamientos establecidos por el CONAC y no se presenta información por segmentos.</w:t>
      </w:r>
    </w:p>
    <w:p w14:paraId="1B0E0404" w14:textId="77777777" w:rsidR="00F60DC8" w:rsidRPr="00726BD5" w:rsidRDefault="00F60DC8" w:rsidP="00B0059B">
      <w:pPr>
        <w:tabs>
          <w:tab w:val="left" w:pos="7260"/>
        </w:tabs>
        <w:jc w:val="both"/>
        <w:rPr>
          <w:rFonts w:ascii="Montserrat" w:eastAsia="Times New Roman" w:hAnsi="Montserrat" w:cs="Arial"/>
        </w:rPr>
      </w:pPr>
    </w:p>
    <w:p w14:paraId="4C0161A1" w14:textId="77777777" w:rsidR="00B46653" w:rsidRPr="00726BD5" w:rsidRDefault="00B46653" w:rsidP="00B0059B">
      <w:pPr>
        <w:tabs>
          <w:tab w:val="left" w:pos="7260"/>
        </w:tabs>
        <w:jc w:val="both"/>
        <w:rPr>
          <w:rFonts w:ascii="Montserrat" w:eastAsia="Times New Roman" w:hAnsi="Montserrat" w:cs="Arial"/>
        </w:rPr>
      </w:pPr>
    </w:p>
    <w:p w14:paraId="03C3F54C" w14:textId="77777777" w:rsidR="00B46653" w:rsidRPr="00726BD5" w:rsidRDefault="00B46653" w:rsidP="00B0059B">
      <w:pPr>
        <w:tabs>
          <w:tab w:val="left" w:pos="7260"/>
        </w:tabs>
        <w:jc w:val="both"/>
        <w:rPr>
          <w:rFonts w:ascii="Montserrat" w:eastAsia="Times New Roman" w:hAnsi="Montserrat" w:cs="Arial"/>
        </w:rPr>
      </w:pPr>
    </w:p>
    <w:p w14:paraId="7224D398" w14:textId="77777777" w:rsidR="00B46653" w:rsidRPr="00726BD5" w:rsidRDefault="00B46653" w:rsidP="00B0059B">
      <w:pPr>
        <w:tabs>
          <w:tab w:val="left" w:pos="7260"/>
        </w:tabs>
        <w:jc w:val="both"/>
        <w:rPr>
          <w:rFonts w:ascii="Montserrat" w:eastAsia="Times New Roman" w:hAnsi="Montserrat" w:cs="Arial"/>
        </w:rPr>
      </w:pPr>
    </w:p>
    <w:p w14:paraId="47B0B063" w14:textId="77777777" w:rsidR="007F502C" w:rsidRPr="00726BD5" w:rsidRDefault="007F502C" w:rsidP="00B0059B">
      <w:pPr>
        <w:tabs>
          <w:tab w:val="left" w:pos="7260"/>
        </w:tabs>
        <w:jc w:val="both"/>
        <w:rPr>
          <w:rFonts w:ascii="Montserrat" w:eastAsia="Times New Roman" w:hAnsi="Montserrat" w:cs="Arial"/>
        </w:rPr>
      </w:pPr>
    </w:p>
    <w:p w14:paraId="7610B138" w14:textId="77777777" w:rsidR="00B0059B" w:rsidRPr="00726BD5" w:rsidRDefault="00B0059B" w:rsidP="00DA40B0">
      <w:pPr>
        <w:pStyle w:val="Prrafodelista"/>
        <w:widowControl w:val="0"/>
        <w:numPr>
          <w:ilvl w:val="0"/>
          <w:numId w:val="38"/>
        </w:numPr>
        <w:ind w:left="426" w:hanging="426"/>
        <w:jc w:val="both"/>
        <w:rPr>
          <w:rFonts w:ascii="Montserrat" w:hAnsi="Montserrat"/>
          <w:b/>
          <w:sz w:val="24"/>
          <w:szCs w:val="24"/>
        </w:rPr>
      </w:pPr>
      <w:r w:rsidRPr="00726BD5">
        <w:rPr>
          <w:rFonts w:ascii="Montserrat" w:hAnsi="Montserrat"/>
          <w:b/>
          <w:sz w:val="24"/>
          <w:szCs w:val="24"/>
        </w:rPr>
        <w:lastRenderedPageBreak/>
        <w:t>Eventos Posteriores al Cierre</w:t>
      </w:r>
    </w:p>
    <w:p w14:paraId="796BACAC"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A la fecha del presente informe no se identifican eventos posteriores al cierre que afecten económicamente al ente público.</w:t>
      </w:r>
    </w:p>
    <w:p w14:paraId="4C30B7A1" w14:textId="77777777" w:rsidR="00A73E15" w:rsidRPr="00726BD5" w:rsidRDefault="00A73E15" w:rsidP="00B0059B">
      <w:pPr>
        <w:pStyle w:val="Prrafodelista"/>
        <w:widowControl w:val="0"/>
        <w:ind w:left="426"/>
        <w:jc w:val="both"/>
        <w:rPr>
          <w:rFonts w:ascii="Montserrat" w:hAnsi="Montserrat"/>
          <w:b/>
          <w:sz w:val="24"/>
          <w:szCs w:val="24"/>
        </w:rPr>
      </w:pPr>
    </w:p>
    <w:p w14:paraId="61102CB8" w14:textId="77777777" w:rsidR="00B0059B" w:rsidRPr="00726BD5" w:rsidRDefault="00B0059B" w:rsidP="00DA40B0">
      <w:pPr>
        <w:pStyle w:val="Prrafodelista"/>
        <w:widowControl w:val="0"/>
        <w:numPr>
          <w:ilvl w:val="0"/>
          <w:numId w:val="38"/>
        </w:numPr>
        <w:ind w:left="426" w:hanging="426"/>
        <w:jc w:val="both"/>
        <w:rPr>
          <w:rFonts w:ascii="Montserrat" w:hAnsi="Montserrat"/>
          <w:b/>
          <w:sz w:val="24"/>
          <w:szCs w:val="24"/>
        </w:rPr>
      </w:pPr>
      <w:r w:rsidRPr="00726BD5">
        <w:rPr>
          <w:rFonts w:ascii="Montserrat" w:hAnsi="Montserrat"/>
          <w:b/>
          <w:sz w:val="24"/>
          <w:szCs w:val="24"/>
        </w:rPr>
        <w:t>Partes Relacionadas.</w:t>
      </w:r>
    </w:p>
    <w:p w14:paraId="449069CF"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No existen partes relacionadas que influyan en la toma de decisiones financieras y operativas en la información contable, presupuestaria y programática.</w:t>
      </w:r>
    </w:p>
    <w:p w14:paraId="132ABE42" w14:textId="77777777" w:rsidR="00B0059B" w:rsidRPr="00726BD5" w:rsidRDefault="00B0059B" w:rsidP="00B0059B">
      <w:pPr>
        <w:tabs>
          <w:tab w:val="left" w:pos="7260"/>
        </w:tabs>
        <w:jc w:val="both"/>
        <w:rPr>
          <w:rFonts w:ascii="Montserrat" w:eastAsia="Times New Roman" w:hAnsi="Montserrat" w:cs="Arial"/>
        </w:rPr>
      </w:pPr>
    </w:p>
    <w:p w14:paraId="443125A3" w14:textId="77777777" w:rsidR="00B0059B" w:rsidRPr="00726BD5" w:rsidRDefault="00B0059B" w:rsidP="00DA40B0">
      <w:pPr>
        <w:pStyle w:val="Prrafodelista"/>
        <w:keepNext/>
        <w:widowControl w:val="0"/>
        <w:numPr>
          <w:ilvl w:val="0"/>
          <w:numId w:val="38"/>
        </w:numPr>
        <w:ind w:left="425" w:hanging="425"/>
        <w:jc w:val="both"/>
        <w:rPr>
          <w:rFonts w:ascii="Montserrat" w:hAnsi="Montserrat"/>
          <w:b/>
          <w:sz w:val="24"/>
          <w:szCs w:val="24"/>
        </w:rPr>
      </w:pPr>
      <w:r w:rsidRPr="00726BD5">
        <w:rPr>
          <w:rFonts w:ascii="Montserrat" w:hAnsi="Montserrat"/>
          <w:b/>
          <w:sz w:val="24"/>
          <w:szCs w:val="24"/>
        </w:rPr>
        <w:t>Responsabilidad sobre la Presentación Razonable de los Estados Financieros.</w:t>
      </w:r>
    </w:p>
    <w:p w14:paraId="2C7DB210" w14:textId="6D1DD72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Los Estados Financieros del Poder Ejecutivo son elaborados por la Secretaría de Finanzas bajo la responsabilidad de la Dirección de Contabilidad</w:t>
      </w:r>
      <w:r w:rsidR="002777EB" w:rsidRPr="00726BD5">
        <w:rPr>
          <w:rFonts w:ascii="Montserrat" w:eastAsia="Times New Roman" w:hAnsi="Montserrat" w:cs="Arial"/>
        </w:rPr>
        <w:t xml:space="preserve"> Gubernamental</w:t>
      </w:r>
      <w:r w:rsidRPr="00726BD5">
        <w:rPr>
          <w:rFonts w:ascii="Montserrat" w:eastAsia="Times New Roman" w:hAnsi="Montserrat" w:cs="Arial"/>
        </w:rPr>
        <w:t>, formulados con sustento a las disposiciones legales, normas contables y presupuestales del Estado, con avances en el apego a los criterios de armonización que dicta la Ley General de Contabilidad Gubernamental y las Normas y Metodologías para la Emisión de la Información Financiera considerando la Estructura de los Estados Financieros básicos emitido por el Consejo Nacional de Armonización Contable (CONAC), se presenta firmada en cada página y cuenta con la leyenda</w:t>
      </w:r>
      <w:r w:rsidR="002777EB" w:rsidRPr="00726BD5">
        <w:rPr>
          <w:rFonts w:ascii="Montserrat" w:eastAsia="Times New Roman" w:hAnsi="Montserrat" w:cs="Arial"/>
        </w:rPr>
        <w:t xml:space="preserve"> </w:t>
      </w:r>
      <w:r w:rsidRPr="00726BD5">
        <w:rPr>
          <w:rFonts w:ascii="Montserrat" w:eastAsia="Times New Roman" w:hAnsi="Montserrat" w:cs="Arial"/>
        </w:rPr>
        <w:t>”Bajo protesta de decir verdad declaramos que los Estados Financieros y sus notas, son razonablemente correctos y son responsabilidad del emisor”.</w:t>
      </w:r>
    </w:p>
    <w:p w14:paraId="6D24CD1A" w14:textId="77777777" w:rsidR="00B0059B" w:rsidRPr="00726BD5" w:rsidRDefault="00B0059B" w:rsidP="00B0059B">
      <w:pPr>
        <w:tabs>
          <w:tab w:val="left" w:pos="7260"/>
        </w:tabs>
        <w:jc w:val="both"/>
        <w:rPr>
          <w:rFonts w:ascii="Montserrat" w:eastAsia="Times New Roman" w:hAnsi="Montserrat" w:cs="Arial"/>
        </w:rPr>
      </w:pPr>
    </w:p>
    <w:p w14:paraId="6475E4F2" w14:textId="77777777" w:rsidR="005D0CB2" w:rsidRPr="00726BD5" w:rsidRDefault="005D0CB2" w:rsidP="00D05661">
      <w:pPr>
        <w:tabs>
          <w:tab w:val="left" w:pos="7260"/>
        </w:tabs>
        <w:jc w:val="center"/>
        <w:rPr>
          <w:rFonts w:ascii="Montserrat" w:hAnsi="Montserrat"/>
          <w:b/>
        </w:rPr>
      </w:pPr>
      <w:bookmarkStart w:id="7" w:name="_Hlk157392413"/>
      <w:bookmarkEnd w:id="1"/>
    </w:p>
    <w:p w14:paraId="12ED722F" w14:textId="4677293D" w:rsidR="00D05661" w:rsidRPr="00726BD5" w:rsidRDefault="00D05661" w:rsidP="00D05661">
      <w:pPr>
        <w:tabs>
          <w:tab w:val="left" w:pos="7260"/>
        </w:tabs>
        <w:jc w:val="center"/>
        <w:rPr>
          <w:rFonts w:ascii="Montserrat" w:hAnsi="Montserrat"/>
          <w:b/>
        </w:rPr>
      </w:pPr>
      <w:r w:rsidRPr="00726BD5">
        <w:rPr>
          <w:rFonts w:ascii="Montserrat" w:hAnsi="Montserrat"/>
          <w:b/>
        </w:rPr>
        <w:t>NOTAS DE DESGLOSE:</w:t>
      </w:r>
    </w:p>
    <w:p w14:paraId="3A4225DA" w14:textId="77777777" w:rsidR="00D05661" w:rsidRPr="00726BD5" w:rsidRDefault="00D05661" w:rsidP="00D05661">
      <w:pPr>
        <w:rPr>
          <w:rFonts w:ascii="Montserrat" w:hAnsi="Montserrat"/>
        </w:rPr>
      </w:pPr>
    </w:p>
    <w:p w14:paraId="16B2FF8E" w14:textId="77777777" w:rsidR="00D05661" w:rsidRPr="00726BD5" w:rsidRDefault="00D05661" w:rsidP="00D05661">
      <w:pPr>
        <w:rPr>
          <w:rFonts w:ascii="Montserrat" w:hAnsi="Montserrat"/>
        </w:rPr>
      </w:pPr>
    </w:p>
    <w:p w14:paraId="6C029884" w14:textId="77777777" w:rsidR="00D05661" w:rsidRPr="00726BD5" w:rsidRDefault="00D05661" w:rsidP="00D05661">
      <w:pPr>
        <w:rPr>
          <w:rFonts w:ascii="Montserrat" w:hAnsi="Montserrat"/>
          <w:b/>
          <w:bCs/>
        </w:rPr>
      </w:pPr>
      <w:r w:rsidRPr="00726BD5">
        <w:rPr>
          <w:rFonts w:ascii="Montserrat" w:hAnsi="Montserrat"/>
          <w:b/>
          <w:bCs/>
        </w:rPr>
        <w:t>NOTAS AL ESTADO DE ACTIVIDADES.</w:t>
      </w:r>
    </w:p>
    <w:p w14:paraId="3AA1E70E" w14:textId="77777777" w:rsidR="00D05661" w:rsidRPr="00726BD5" w:rsidRDefault="00D05661" w:rsidP="00D05661">
      <w:pPr>
        <w:widowControl w:val="0"/>
        <w:jc w:val="both"/>
        <w:rPr>
          <w:rFonts w:ascii="Montserrat" w:hAnsi="Montserrat"/>
        </w:rPr>
      </w:pPr>
    </w:p>
    <w:p w14:paraId="7029DB86" w14:textId="77777777" w:rsidR="00D05661" w:rsidRPr="00726BD5" w:rsidRDefault="00D05661" w:rsidP="00D05661">
      <w:pPr>
        <w:widowControl w:val="0"/>
        <w:jc w:val="both"/>
        <w:rPr>
          <w:rFonts w:ascii="Montserrat" w:hAnsi="Montserrat"/>
        </w:rPr>
      </w:pPr>
      <w:r w:rsidRPr="00726BD5">
        <w:rPr>
          <w:rFonts w:ascii="Montserrat" w:hAnsi="Montserrat"/>
        </w:rPr>
        <w:t>Este Estado financiero muestra dos agregados que corresponden a los entes públicos que conforman el Poder Ejecutivo, representados por los Ingresos y Otros Beneficios, así como los Gastos y Otras Perdidas, mostrando los conceptos del ingreso de acuerdo con la Ley de Ingresos y los Gastos con los conceptos del Clasificador por Objeto del Gasto, permitiendo determinar el resultado al cierre del periodo enero-junio de 2025 y 2024. Mismo que se muestra a continuación:</w:t>
      </w:r>
    </w:p>
    <w:p w14:paraId="10D7A2E9" w14:textId="77777777" w:rsidR="00D05661" w:rsidRPr="00726BD5" w:rsidRDefault="00D05661" w:rsidP="00D05661">
      <w:pPr>
        <w:spacing w:line="224" w:lineRule="exact"/>
        <w:jc w:val="both"/>
        <w:rPr>
          <w:rFonts w:ascii="Montserrat" w:hAnsi="Montserrat"/>
          <w:b/>
          <w:color w:val="000000"/>
        </w:rPr>
      </w:pPr>
      <w:bookmarkStart w:id="8" w:name="_Hlk157387330"/>
    </w:p>
    <w:p w14:paraId="3B91889B" w14:textId="77777777" w:rsidR="00D05661" w:rsidRPr="00726BD5" w:rsidRDefault="00D05661" w:rsidP="00D05661">
      <w:pPr>
        <w:spacing w:line="224" w:lineRule="exact"/>
        <w:jc w:val="both"/>
        <w:rPr>
          <w:rFonts w:ascii="Montserrat" w:hAnsi="Montserrat"/>
          <w:b/>
          <w:color w:val="000000"/>
        </w:rPr>
      </w:pPr>
    </w:p>
    <w:p w14:paraId="30E536DC" w14:textId="77777777" w:rsidR="00896197" w:rsidRPr="00726BD5" w:rsidRDefault="00896197" w:rsidP="00D05661">
      <w:pPr>
        <w:spacing w:line="224" w:lineRule="exact"/>
        <w:jc w:val="both"/>
        <w:rPr>
          <w:rFonts w:ascii="Montserrat" w:hAnsi="Montserrat"/>
          <w:b/>
          <w:color w:val="000000"/>
        </w:rPr>
      </w:pPr>
    </w:p>
    <w:p w14:paraId="5932727B" w14:textId="77777777" w:rsidR="00D05661" w:rsidRPr="00726BD5" w:rsidRDefault="00D05661" w:rsidP="00D05661">
      <w:pPr>
        <w:spacing w:line="224" w:lineRule="exact"/>
        <w:jc w:val="both"/>
        <w:rPr>
          <w:rFonts w:ascii="Montserrat" w:hAnsi="Montserrat" w:cs="Arial"/>
          <w:b/>
          <w:lang w:val="es-MX"/>
        </w:rPr>
      </w:pPr>
      <w:r w:rsidRPr="00726BD5">
        <w:rPr>
          <w:rFonts w:ascii="Montserrat" w:hAnsi="Montserrat"/>
          <w:b/>
          <w:color w:val="000000"/>
        </w:rPr>
        <w:t xml:space="preserve">Nota 1.- </w:t>
      </w:r>
      <w:r w:rsidRPr="00726BD5">
        <w:rPr>
          <w:rFonts w:ascii="Montserrat" w:hAnsi="Montserrat" w:cs="Arial"/>
          <w:b/>
          <w:lang w:val="es-MX"/>
        </w:rPr>
        <w:t>Ingresos y Otros Beneficios</w:t>
      </w:r>
    </w:p>
    <w:bookmarkEnd w:id="8"/>
    <w:p w14:paraId="7F5EC028" w14:textId="77777777" w:rsidR="00D05661" w:rsidRPr="00726BD5" w:rsidRDefault="00D05661" w:rsidP="00D05661">
      <w:pPr>
        <w:spacing w:line="224" w:lineRule="exact"/>
        <w:jc w:val="both"/>
        <w:rPr>
          <w:rFonts w:ascii="Montserrat" w:hAnsi="Montserrat" w:cs="Arial"/>
          <w:b/>
          <w:lang w:val="es-MX"/>
        </w:rPr>
      </w:pPr>
    </w:p>
    <w:p w14:paraId="70FEB8D0" w14:textId="77777777" w:rsidR="00D05661" w:rsidRPr="00726BD5" w:rsidRDefault="00D05661" w:rsidP="00D05661">
      <w:pPr>
        <w:pBdr>
          <w:top w:val="nil"/>
          <w:left w:val="nil"/>
          <w:bottom w:val="nil"/>
          <w:right w:val="nil"/>
          <w:between w:val="nil"/>
        </w:pBdr>
        <w:jc w:val="center"/>
        <w:rPr>
          <w:rFonts w:ascii="Montserrat" w:hAnsi="Montserrat"/>
          <w:b/>
          <w:color w:val="000000"/>
        </w:rPr>
      </w:pPr>
      <w:r w:rsidRPr="00726BD5">
        <w:rPr>
          <w:rFonts w:ascii="Montserrat" w:hAnsi="Montserrat"/>
          <w:b/>
          <w:color w:val="000000"/>
        </w:rPr>
        <w:t>(Pesos)</w:t>
      </w:r>
    </w:p>
    <w:tbl>
      <w:tblPr>
        <w:tblW w:w="8904" w:type="dxa"/>
        <w:tblInd w:w="55" w:type="dxa"/>
        <w:tblCellMar>
          <w:left w:w="70" w:type="dxa"/>
          <w:right w:w="70" w:type="dxa"/>
        </w:tblCellMar>
        <w:tblLook w:val="04A0" w:firstRow="1" w:lastRow="0" w:firstColumn="1" w:lastColumn="0" w:noHBand="0" w:noVBand="1"/>
      </w:tblPr>
      <w:tblGrid>
        <w:gridCol w:w="4469"/>
        <w:gridCol w:w="2226"/>
        <w:gridCol w:w="2209"/>
      </w:tblGrid>
      <w:tr w:rsidR="00D05661" w:rsidRPr="00726BD5" w14:paraId="17327DCC" w14:textId="77777777" w:rsidTr="00BE0300">
        <w:trPr>
          <w:trHeight w:val="330"/>
        </w:trPr>
        <w:tc>
          <w:tcPr>
            <w:tcW w:w="446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704EE2F" w14:textId="77777777" w:rsidR="00D05661" w:rsidRPr="00726BD5" w:rsidRDefault="00D05661" w:rsidP="00BE0300">
            <w:pPr>
              <w:jc w:val="center"/>
              <w:rPr>
                <w:rFonts w:ascii="Montserrat" w:eastAsia="Times New Roman" w:hAnsi="Montserrat" w:cs="Times New Roman"/>
                <w:b/>
                <w:bCs/>
                <w:color w:val="000000"/>
                <w:lang w:val="es-MX"/>
              </w:rPr>
            </w:pPr>
            <w:bookmarkStart w:id="9" w:name="_Hlk157387559"/>
            <w:r w:rsidRPr="00726BD5">
              <w:rPr>
                <w:rFonts w:ascii="Montserrat" w:eastAsia="Times New Roman" w:hAnsi="Montserrat" w:cs="Times New Roman"/>
                <w:b/>
                <w:bCs/>
                <w:color w:val="000000"/>
                <w:lang w:val="es-MX"/>
              </w:rPr>
              <w:t>Concepto</w:t>
            </w:r>
          </w:p>
        </w:tc>
        <w:tc>
          <w:tcPr>
            <w:tcW w:w="2226" w:type="dxa"/>
            <w:tcBorders>
              <w:top w:val="single" w:sz="8" w:space="0" w:color="auto"/>
              <w:left w:val="nil"/>
              <w:bottom w:val="single" w:sz="8" w:space="0" w:color="auto"/>
              <w:right w:val="single" w:sz="8" w:space="0" w:color="auto"/>
            </w:tcBorders>
            <w:shd w:val="clear" w:color="000000" w:fill="BFBFBF"/>
            <w:noWrap/>
            <w:vAlign w:val="center"/>
            <w:hideMark/>
          </w:tcPr>
          <w:p w14:paraId="13326D33" w14:textId="77777777" w:rsidR="00D05661" w:rsidRPr="00726BD5" w:rsidRDefault="00D05661" w:rsidP="00BE0300">
            <w:pPr>
              <w:jc w:val="center"/>
              <w:rPr>
                <w:rFonts w:ascii="Montserrat" w:eastAsia="Times New Roman" w:hAnsi="Montserrat" w:cs="Times New Roman"/>
                <w:b/>
                <w:bCs/>
                <w:color w:val="000000"/>
                <w:lang w:val="es-MX"/>
              </w:rPr>
            </w:pPr>
            <w:r w:rsidRPr="00726BD5">
              <w:rPr>
                <w:rFonts w:ascii="Montserrat" w:eastAsia="Times New Roman" w:hAnsi="Montserrat" w:cs="Times New Roman"/>
                <w:b/>
                <w:bCs/>
                <w:color w:val="000000"/>
                <w:lang w:val="es-MX"/>
              </w:rPr>
              <w:t>2025</w:t>
            </w:r>
          </w:p>
        </w:tc>
        <w:tc>
          <w:tcPr>
            <w:tcW w:w="2209" w:type="dxa"/>
            <w:tcBorders>
              <w:top w:val="single" w:sz="8" w:space="0" w:color="auto"/>
              <w:left w:val="nil"/>
              <w:bottom w:val="single" w:sz="8" w:space="0" w:color="auto"/>
              <w:right w:val="single" w:sz="8" w:space="0" w:color="auto"/>
            </w:tcBorders>
            <w:shd w:val="clear" w:color="000000" w:fill="BFBFBF"/>
            <w:noWrap/>
            <w:vAlign w:val="center"/>
            <w:hideMark/>
          </w:tcPr>
          <w:p w14:paraId="1093F534" w14:textId="77777777" w:rsidR="00D05661" w:rsidRPr="00726BD5" w:rsidRDefault="00D05661" w:rsidP="00BE0300">
            <w:pPr>
              <w:jc w:val="center"/>
              <w:rPr>
                <w:rFonts w:ascii="Montserrat" w:eastAsia="Times New Roman" w:hAnsi="Montserrat" w:cs="Times New Roman"/>
                <w:b/>
                <w:bCs/>
                <w:color w:val="000000"/>
                <w:lang w:val="es-MX"/>
              </w:rPr>
            </w:pPr>
            <w:r w:rsidRPr="00726BD5">
              <w:rPr>
                <w:rFonts w:ascii="Montserrat" w:eastAsia="Times New Roman" w:hAnsi="Montserrat" w:cs="Times New Roman"/>
                <w:b/>
                <w:bCs/>
                <w:color w:val="000000"/>
                <w:lang w:val="es-MX"/>
              </w:rPr>
              <w:t>2024</w:t>
            </w:r>
          </w:p>
        </w:tc>
      </w:tr>
      <w:tr w:rsidR="00D05661" w:rsidRPr="00726BD5" w14:paraId="415B71B1" w14:textId="77777777" w:rsidTr="00BE0300">
        <w:trPr>
          <w:trHeight w:val="330"/>
        </w:trPr>
        <w:tc>
          <w:tcPr>
            <w:tcW w:w="4469" w:type="dxa"/>
            <w:tcBorders>
              <w:top w:val="nil"/>
              <w:left w:val="single" w:sz="8" w:space="0" w:color="auto"/>
              <w:bottom w:val="single" w:sz="8" w:space="0" w:color="auto"/>
              <w:right w:val="single" w:sz="8" w:space="0" w:color="auto"/>
            </w:tcBorders>
            <w:shd w:val="clear" w:color="auto" w:fill="auto"/>
            <w:vAlign w:val="center"/>
            <w:hideMark/>
          </w:tcPr>
          <w:p w14:paraId="0710AD8A" w14:textId="77777777" w:rsidR="00D05661" w:rsidRPr="00726BD5" w:rsidRDefault="00D05661" w:rsidP="00BE0300">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Impuestos</w:t>
            </w:r>
          </w:p>
        </w:tc>
        <w:tc>
          <w:tcPr>
            <w:tcW w:w="2226" w:type="dxa"/>
            <w:tcBorders>
              <w:top w:val="nil"/>
              <w:left w:val="nil"/>
              <w:bottom w:val="single" w:sz="8" w:space="0" w:color="auto"/>
              <w:right w:val="single" w:sz="8" w:space="0" w:color="auto"/>
            </w:tcBorders>
            <w:shd w:val="clear" w:color="auto" w:fill="auto"/>
            <w:vAlign w:val="center"/>
            <w:hideMark/>
          </w:tcPr>
          <w:p w14:paraId="25DE43FA"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1,267,642,172</w:t>
            </w:r>
          </w:p>
        </w:tc>
        <w:tc>
          <w:tcPr>
            <w:tcW w:w="2209" w:type="dxa"/>
            <w:tcBorders>
              <w:top w:val="nil"/>
              <w:left w:val="nil"/>
              <w:bottom w:val="single" w:sz="8" w:space="0" w:color="auto"/>
              <w:right w:val="single" w:sz="8" w:space="0" w:color="auto"/>
            </w:tcBorders>
            <w:shd w:val="clear" w:color="auto" w:fill="auto"/>
            <w:vAlign w:val="center"/>
            <w:hideMark/>
          </w:tcPr>
          <w:p w14:paraId="5AE2942D"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2,141,687,266</w:t>
            </w:r>
          </w:p>
        </w:tc>
      </w:tr>
      <w:tr w:rsidR="00D05661" w:rsidRPr="00726BD5" w14:paraId="4A5354DD" w14:textId="77777777" w:rsidTr="00BE0300">
        <w:trPr>
          <w:trHeight w:val="330"/>
        </w:trPr>
        <w:tc>
          <w:tcPr>
            <w:tcW w:w="4469" w:type="dxa"/>
            <w:tcBorders>
              <w:top w:val="nil"/>
              <w:left w:val="single" w:sz="8" w:space="0" w:color="auto"/>
              <w:bottom w:val="single" w:sz="8" w:space="0" w:color="auto"/>
              <w:right w:val="single" w:sz="8" w:space="0" w:color="auto"/>
            </w:tcBorders>
            <w:shd w:val="clear" w:color="auto" w:fill="auto"/>
            <w:vAlign w:val="center"/>
            <w:hideMark/>
          </w:tcPr>
          <w:p w14:paraId="6C2569FE" w14:textId="77777777" w:rsidR="00D05661" w:rsidRPr="00726BD5" w:rsidRDefault="00D05661" w:rsidP="00BE0300">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Derechos</w:t>
            </w:r>
          </w:p>
        </w:tc>
        <w:tc>
          <w:tcPr>
            <w:tcW w:w="2226" w:type="dxa"/>
            <w:tcBorders>
              <w:top w:val="nil"/>
              <w:left w:val="nil"/>
              <w:bottom w:val="single" w:sz="8" w:space="0" w:color="auto"/>
              <w:right w:val="single" w:sz="8" w:space="0" w:color="auto"/>
            </w:tcBorders>
            <w:shd w:val="clear" w:color="auto" w:fill="auto"/>
            <w:vAlign w:val="center"/>
            <w:hideMark/>
          </w:tcPr>
          <w:p w14:paraId="7260152E"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1,680,133,646</w:t>
            </w:r>
          </w:p>
        </w:tc>
        <w:tc>
          <w:tcPr>
            <w:tcW w:w="2209" w:type="dxa"/>
            <w:tcBorders>
              <w:top w:val="nil"/>
              <w:left w:val="nil"/>
              <w:bottom w:val="single" w:sz="8" w:space="0" w:color="auto"/>
              <w:right w:val="single" w:sz="8" w:space="0" w:color="auto"/>
            </w:tcBorders>
            <w:shd w:val="clear" w:color="auto" w:fill="auto"/>
            <w:vAlign w:val="center"/>
            <w:hideMark/>
          </w:tcPr>
          <w:p w14:paraId="6B1972BB"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2,684,562,620</w:t>
            </w:r>
          </w:p>
        </w:tc>
      </w:tr>
      <w:tr w:rsidR="00D05661" w:rsidRPr="00726BD5" w14:paraId="5510C5E7" w14:textId="77777777" w:rsidTr="00BE0300">
        <w:trPr>
          <w:trHeight w:val="330"/>
        </w:trPr>
        <w:tc>
          <w:tcPr>
            <w:tcW w:w="4469" w:type="dxa"/>
            <w:tcBorders>
              <w:top w:val="nil"/>
              <w:left w:val="single" w:sz="8" w:space="0" w:color="auto"/>
              <w:bottom w:val="single" w:sz="8" w:space="0" w:color="auto"/>
              <w:right w:val="single" w:sz="8" w:space="0" w:color="auto"/>
            </w:tcBorders>
            <w:shd w:val="clear" w:color="auto" w:fill="auto"/>
            <w:vAlign w:val="center"/>
            <w:hideMark/>
          </w:tcPr>
          <w:p w14:paraId="79EB6F88" w14:textId="77777777" w:rsidR="00D05661" w:rsidRPr="00726BD5" w:rsidRDefault="00D05661" w:rsidP="00BE0300">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Productos</w:t>
            </w:r>
          </w:p>
        </w:tc>
        <w:tc>
          <w:tcPr>
            <w:tcW w:w="2226" w:type="dxa"/>
            <w:tcBorders>
              <w:top w:val="nil"/>
              <w:left w:val="nil"/>
              <w:bottom w:val="single" w:sz="8" w:space="0" w:color="auto"/>
              <w:right w:val="single" w:sz="8" w:space="0" w:color="auto"/>
            </w:tcBorders>
            <w:shd w:val="clear" w:color="auto" w:fill="auto"/>
            <w:vAlign w:val="center"/>
            <w:hideMark/>
          </w:tcPr>
          <w:p w14:paraId="5822BF06"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460,484,188</w:t>
            </w:r>
          </w:p>
        </w:tc>
        <w:tc>
          <w:tcPr>
            <w:tcW w:w="2209" w:type="dxa"/>
            <w:tcBorders>
              <w:top w:val="nil"/>
              <w:left w:val="nil"/>
              <w:bottom w:val="single" w:sz="8" w:space="0" w:color="auto"/>
              <w:right w:val="single" w:sz="8" w:space="0" w:color="auto"/>
            </w:tcBorders>
            <w:shd w:val="clear" w:color="auto" w:fill="auto"/>
            <w:vAlign w:val="center"/>
            <w:hideMark/>
          </w:tcPr>
          <w:p w14:paraId="48072484"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998,289,283</w:t>
            </w:r>
          </w:p>
        </w:tc>
      </w:tr>
      <w:tr w:rsidR="00D05661" w:rsidRPr="00726BD5" w14:paraId="041246C4" w14:textId="77777777" w:rsidTr="00BE0300">
        <w:trPr>
          <w:trHeight w:val="330"/>
        </w:trPr>
        <w:tc>
          <w:tcPr>
            <w:tcW w:w="4469" w:type="dxa"/>
            <w:tcBorders>
              <w:top w:val="nil"/>
              <w:left w:val="single" w:sz="8" w:space="0" w:color="auto"/>
              <w:bottom w:val="single" w:sz="8" w:space="0" w:color="auto"/>
              <w:right w:val="single" w:sz="8" w:space="0" w:color="auto"/>
            </w:tcBorders>
            <w:shd w:val="clear" w:color="auto" w:fill="auto"/>
            <w:vAlign w:val="center"/>
            <w:hideMark/>
          </w:tcPr>
          <w:p w14:paraId="7F85029C" w14:textId="77777777" w:rsidR="00D05661" w:rsidRPr="00726BD5" w:rsidRDefault="00D05661" w:rsidP="00BE0300">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Aprovechamientos</w:t>
            </w:r>
          </w:p>
        </w:tc>
        <w:tc>
          <w:tcPr>
            <w:tcW w:w="2226" w:type="dxa"/>
            <w:tcBorders>
              <w:top w:val="nil"/>
              <w:left w:val="nil"/>
              <w:bottom w:val="single" w:sz="8" w:space="0" w:color="auto"/>
              <w:right w:val="single" w:sz="8" w:space="0" w:color="auto"/>
            </w:tcBorders>
            <w:shd w:val="clear" w:color="auto" w:fill="auto"/>
            <w:vAlign w:val="center"/>
            <w:hideMark/>
          </w:tcPr>
          <w:p w14:paraId="2CC216C1"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179,484,635</w:t>
            </w:r>
          </w:p>
        </w:tc>
        <w:tc>
          <w:tcPr>
            <w:tcW w:w="2209" w:type="dxa"/>
            <w:tcBorders>
              <w:top w:val="nil"/>
              <w:left w:val="nil"/>
              <w:bottom w:val="single" w:sz="8" w:space="0" w:color="auto"/>
              <w:right w:val="single" w:sz="8" w:space="0" w:color="auto"/>
            </w:tcBorders>
            <w:shd w:val="clear" w:color="auto" w:fill="auto"/>
            <w:vAlign w:val="center"/>
            <w:hideMark/>
          </w:tcPr>
          <w:p w14:paraId="2CEFBC29"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746,384,332</w:t>
            </w:r>
          </w:p>
        </w:tc>
      </w:tr>
      <w:tr w:rsidR="00D05661" w:rsidRPr="00726BD5" w14:paraId="45885FA0" w14:textId="77777777" w:rsidTr="00BE0300">
        <w:trPr>
          <w:trHeight w:val="960"/>
        </w:trPr>
        <w:tc>
          <w:tcPr>
            <w:tcW w:w="4469" w:type="dxa"/>
            <w:tcBorders>
              <w:top w:val="nil"/>
              <w:left w:val="single" w:sz="8" w:space="0" w:color="auto"/>
              <w:bottom w:val="single" w:sz="8" w:space="0" w:color="auto"/>
              <w:right w:val="single" w:sz="8" w:space="0" w:color="auto"/>
            </w:tcBorders>
            <w:shd w:val="clear" w:color="auto" w:fill="auto"/>
            <w:vAlign w:val="center"/>
            <w:hideMark/>
          </w:tcPr>
          <w:p w14:paraId="4C3186D3" w14:textId="77777777" w:rsidR="00D05661" w:rsidRPr="00726BD5" w:rsidRDefault="00D05661" w:rsidP="00BE0300">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Participaciones, Aportaciones, Convenios, Incentivos Derivados de la Colaboración Fiscal y Fondos Distintos de Aportaciones</w:t>
            </w:r>
          </w:p>
        </w:tc>
        <w:tc>
          <w:tcPr>
            <w:tcW w:w="2226" w:type="dxa"/>
            <w:tcBorders>
              <w:top w:val="nil"/>
              <w:left w:val="nil"/>
              <w:bottom w:val="single" w:sz="8" w:space="0" w:color="auto"/>
              <w:right w:val="single" w:sz="8" w:space="0" w:color="auto"/>
            </w:tcBorders>
            <w:shd w:val="clear" w:color="auto" w:fill="auto"/>
            <w:vAlign w:val="center"/>
            <w:hideMark/>
          </w:tcPr>
          <w:p w14:paraId="230E1A48"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50,519,761,911</w:t>
            </w:r>
          </w:p>
        </w:tc>
        <w:tc>
          <w:tcPr>
            <w:tcW w:w="2209" w:type="dxa"/>
            <w:tcBorders>
              <w:top w:val="nil"/>
              <w:left w:val="nil"/>
              <w:bottom w:val="single" w:sz="8" w:space="0" w:color="auto"/>
              <w:right w:val="single" w:sz="8" w:space="0" w:color="auto"/>
            </w:tcBorders>
            <w:shd w:val="clear" w:color="auto" w:fill="auto"/>
            <w:vAlign w:val="center"/>
            <w:hideMark/>
          </w:tcPr>
          <w:p w14:paraId="6F12F686"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99,710,670,136</w:t>
            </w:r>
          </w:p>
        </w:tc>
      </w:tr>
      <w:tr w:rsidR="00D05661" w:rsidRPr="00726BD5" w14:paraId="275371C8" w14:textId="77777777" w:rsidTr="00BE0300">
        <w:trPr>
          <w:trHeight w:val="645"/>
        </w:trPr>
        <w:tc>
          <w:tcPr>
            <w:tcW w:w="4469" w:type="dxa"/>
            <w:tcBorders>
              <w:top w:val="nil"/>
              <w:left w:val="single" w:sz="8" w:space="0" w:color="auto"/>
              <w:bottom w:val="single" w:sz="8" w:space="0" w:color="auto"/>
              <w:right w:val="single" w:sz="8" w:space="0" w:color="auto"/>
            </w:tcBorders>
            <w:shd w:val="clear" w:color="auto" w:fill="auto"/>
            <w:vAlign w:val="center"/>
            <w:hideMark/>
          </w:tcPr>
          <w:p w14:paraId="1BC95B2A" w14:textId="77777777" w:rsidR="00D05661" w:rsidRPr="00726BD5" w:rsidRDefault="00D05661" w:rsidP="00BE0300">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Transferencias, Asignaciones, Subsidios y Subvenciones, y Pensiones y Jubilaciones</w:t>
            </w:r>
          </w:p>
        </w:tc>
        <w:tc>
          <w:tcPr>
            <w:tcW w:w="2226" w:type="dxa"/>
            <w:tcBorders>
              <w:top w:val="nil"/>
              <w:left w:val="nil"/>
              <w:bottom w:val="single" w:sz="8" w:space="0" w:color="auto"/>
              <w:right w:val="single" w:sz="8" w:space="0" w:color="auto"/>
            </w:tcBorders>
            <w:shd w:val="clear" w:color="auto" w:fill="auto"/>
            <w:vAlign w:val="center"/>
            <w:hideMark/>
          </w:tcPr>
          <w:p w14:paraId="16BB0C2A"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-24,903,573,995</w:t>
            </w:r>
          </w:p>
        </w:tc>
        <w:tc>
          <w:tcPr>
            <w:tcW w:w="2209" w:type="dxa"/>
            <w:tcBorders>
              <w:top w:val="nil"/>
              <w:left w:val="nil"/>
              <w:bottom w:val="single" w:sz="8" w:space="0" w:color="auto"/>
              <w:right w:val="single" w:sz="8" w:space="0" w:color="auto"/>
            </w:tcBorders>
            <w:shd w:val="clear" w:color="auto" w:fill="auto"/>
            <w:vAlign w:val="center"/>
            <w:hideMark/>
          </w:tcPr>
          <w:p w14:paraId="20CE59B0"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-65,308,575,064</w:t>
            </w:r>
          </w:p>
        </w:tc>
      </w:tr>
      <w:tr w:rsidR="00D05661" w:rsidRPr="00726BD5" w14:paraId="39385C5D" w14:textId="77777777" w:rsidTr="00BE0300">
        <w:trPr>
          <w:trHeight w:val="330"/>
        </w:trPr>
        <w:tc>
          <w:tcPr>
            <w:tcW w:w="4469" w:type="dxa"/>
            <w:tcBorders>
              <w:top w:val="nil"/>
              <w:left w:val="single" w:sz="8" w:space="0" w:color="auto"/>
              <w:bottom w:val="single" w:sz="8" w:space="0" w:color="auto"/>
              <w:right w:val="single" w:sz="8" w:space="0" w:color="auto"/>
            </w:tcBorders>
            <w:shd w:val="clear" w:color="auto" w:fill="auto"/>
            <w:vAlign w:val="center"/>
            <w:hideMark/>
          </w:tcPr>
          <w:p w14:paraId="4740CC04" w14:textId="77777777" w:rsidR="00D05661" w:rsidRPr="00726BD5" w:rsidRDefault="00D05661" w:rsidP="00BE0300">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Ingresos Financieros</w:t>
            </w:r>
          </w:p>
        </w:tc>
        <w:tc>
          <w:tcPr>
            <w:tcW w:w="2226" w:type="dxa"/>
            <w:tcBorders>
              <w:top w:val="nil"/>
              <w:left w:val="nil"/>
              <w:bottom w:val="single" w:sz="8" w:space="0" w:color="auto"/>
              <w:right w:val="single" w:sz="8" w:space="0" w:color="auto"/>
            </w:tcBorders>
            <w:shd w:val="clear" w:color="auto" w:fill="auto"/>
            <w:vAlign w:val="center"/>
            <w:hideMark/>
          </w:tcPr>
          <w:p w14:paraId="1BDF7E70"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29,664,274</w:t>
            </w:r>
          </w:p>
        </w:tc>
        <w:tc>
          <w:tcPr>
            <w:tcW w:w="2209" w:type="dxa"/>
            <w:tcBorders>
              <w:top w:val="nil"/>
              <w:left w:val="nil"/>
              <w:bottom w:val="single" w:sz="8" w:space="0" w:color="auto"/>
              <w:right w:val="single" w:sz="8" w:space="0" w:color="auto"/>
            </w:tcBorders>
            <w:shd w:val="clear" w:color="auto" w:fill="auto"/>
            <w:vAlign w:val="center"/>
            <w:hideMark/>
          </w:tcPr>
          <w:p w14:paraId="68023F04"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141,821,774</w:t>
            </w:r>
          </w:p>
        </w:tc>
      </w:tr>
      <w:tr w:rsidR="00D05661" w:rsidRPr="00726BD5" w14:paraId="11CF13D2" w14:textId="77777777" w:rsidTr="00BE0300">
        <w:trPr>
          <w:trHeight w:val="330"/>
        </w:trPr>
        <w:tc>
          <w:tcPr>
            <w:tcW w:w="4469" w:type="dxa"/>
            <w:tcBorders>
              <w:top w:val="nil"/>
              <w:left w:val="single" w:sz="8" w:space="0" w:color="auto"/>
              <w:bottom w:val="single" w:sz="8" w:space="0" w:color="auto"/>
              <w:right w:val="single" w:sz="8" w:space="0" w:color="auto"/>
            </w:tcBorders>
            <w:shd w:val="clear" w:color="auto" w:fill="auto"/>
            <w:vAlign w:val="center"/>
            <w:hideMark/>
          </w:tcPr>
          <w:p w14:paraId="423C2271"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Total de Ingresos y Otros Beneficios</w:t>
            </w:r>
          </w:p>
        </w:tc>
        <w:tc>
          <w:tcPr>
            <w:tcW w:w="2226" w:type="dxa"/>
            <w:tcBorders>
              <w:top w:val="nil"/>
              <w:left w:val="nil"/>
              <w:bottom w:val="single" w:sz="8" w:space="0" w:color="auto"/>
              <w:right w:val="single" w:sz="8" w:space="0" w:color="auto"/>
            </w:tcBorders>
            <w:shd w:val="clear" w:color="auto" w:fill="auto"/>
            <w:vAlign w:val="center"/>
            <w:hideMark/>
          </w:tcPr>
          <w:p w14:paraId="18022DE8"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29,233,596,830</w:t>
            </w:r>
          </w:p>
        </w:tc>
        <w:tc>
          <w:tcPr>
            <w:tcW w:w="2209" w:type="dxa"/>
            <w:tcBorders>
              <w:top w:val="nil"/>
              <w:left w:val="nil"/>
              <w:bottom w:val="single" w:sz="8" w:space="0" w:color="auto"/>
              <w:right w:val="single" w:sz="8" w:space="0" w:color="auto"/>
            </w:tcBorders>
            <w:shd w:val="clear" w:color="auto" w:fill="auto"/>
            <w:vAlign w:val="center"/>
            <w:hideMark/>
          </w:tcPr>
          <w:p w14:paraId="26A7E37E"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41,114,840,347</w:t>
            </w:r>
          </w:p>
        </w:tc>
      </w:tr>
    </w:tbl>
    <w:p w14:paraId="503817DC" w14:textId="77777777" w:rsidR="00D05661" w:rsidRPr="00726BD5" w:rsidRDefault="00D05661" w:rsidP="00D05661">
      <w:pPr>
        <w:rPr>
          <w:rFonts w:ascii="Montserrat" w:hAnsi="Montserrat"/>
          <w:b/>
          <w:color w:val="000000"/>
        </w:rPr>
      </w:pPr>
    </w:p>
    <w:p w14:paraId="6E42B2EA" w14:textId="41F17C32" w:rsidR="005D0CB2" w:rsidRPr="00726BD5" w:rsidRDefault="005D0CB2">
      <w:pPr>
        <w:rPr>
          <w:rFonts w:ascii="Montserrat" w:hAnsi="Montserrat"/>
          <w:b/>
          <w:color w:val="000000"/>
        </w:rPr>
      </w:pPr>
    </w:p>
    <w:p w14:paraId="12F83215" w14:textId="2A934173" w:rsidR="00D05661" w:rsidRPr="00726BD5" w:rsidRDefault="00D05661" w:rsidP="00D05661">
      <w:pPr>
        <w:keepNext/>
        <w:rPr>
          <w:rFonts w:ascii="Montserrat" w:hAnsi="Montserrat" w:cs="Arial"/>
          <w:b/>
          <w:lang w:val="es-MX"/>
        </w:rPr>
      </w:pPr>
      <w:r w:rsidRPr="00726BD5">
        <w:rPr>
          <w:rFonts w:ascii="Montserrat" w:hAnsi="Montserrat"/>
          <w:b/>
          <w:color w:val="000000"/>
        </w:rPr>
        <w:t xml:space="preserve">Nota 2.- </w:t>
      </w:r>
      <w:r w:rsidRPr="00726BD5">
        <w:rPr>
          <w:rFonts w:ascii="Montserrat" w:hAnsi="Montserrat" w:cs="Arial"/>
          <w:b/>
          <w:lang w:val="es-MX"/>
        </w:rPr>
        <w:t>Gastos y Otras Pérdidas:</w:t>
      </w:r>
    </w:p>
    <w:bookmarkEnd w:id="9"/>
    <w:p w14:paraId="56A61D54" w14:textId="77777777" w:rsidR="00D05661" w:rsidRPr="00726BD5" w:rsidRDefault="00D05661" w:rsidP="00D05661">
      <w:pPr>
        <w:spacing w:line="224" w:lineRule="exact"/>
        <w:jc w:val="both"/>
        <w:rPr>
          <w:rFonts w:ascii="Montserrat" w:hAnsi="Montserrat" w:cs="Arial"/>
          <w:b/>
          <w:lang w:val="es-MX"/>
        </w:rPr>
      </w:pPr>
    </w:p>
    <w:p w14:paraId="3DC00738" w14:textId="77777777" w:rsidR="00D05661" w:rsidRDefault="00D05661" w:rsidP="00C33ACA">
      <w:pPr>
        <w:pBdr>
          <w:top w:val="nil"/>
          <w:left w:val="nil"/>
          <w:bottom w:val="nil"/>
          <w:right w:val="nil"/>
          <w:between w:val="nil"/>
        </w:pBdr>
        <w:jc w:val="center"/>
        <w:rPr>
          <w:rFonts w:ascii="Montserrat" w:hAnsi="Montserrat"/>
          <w:b/>
          <w:bCs/>
          <w:color w:val="000000"/>
        </w:rPr>
      </w:pPr>
      <w:r w:rsidRPr="00726BD5">
        <w:rPr>
          <w:rFonts w:ascii="Montserrat" w:hAnsi="Montserrat"/>
          <w:b/>
          <w:bCs/>
          <w:color w:val="000000"/>
        </w:rPr>
        <w:t>(Pesos)</w:t>
      </w:r>
    </w:p>
    <w:tbl>
      <w:tblPr>
        <w:tblW w:w="897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07"/>
        <w:gridCol w:w="2245"/>
        <w:gridCol w:w="2227"/>
      </w:tblGrid>
      <w:tr w:rsidR="00D05661" w:rsidRPr="00726BD5" w14:paraId="727E2241" w14:textId="77777777" w:rsidTr="00C33ACA">
        <w:trPr>
          <w:trHeight w:val="334"/>
          <w:tblHeader/>
        </w:trPr>
        <w:tc>
          <w:tcPr>
            <w:tcW w:w="4507" w:type="dxa"/>
            <w:shd w:val="clear" w:color="auto" w:fill="D9D9D9" w:themeFill="background1" w:themeFillShade="D9"/>
            <w:noWrap/>
            <w:vAlign w:val="center"/>
            <w:hideMark/>
          </w:tcPr>
          <w:p w14:paraId="0AE1B1CF" w14:textId="77777777" w:rsidR="00D05661" w:rsidRPr="00C33ACA" w:rsidRDefault="00D05661" w:rsidP="00C33ACA">
            <w:pPr>
              <w:jc w:val="center"/>
              <w:rPr>
                <w:rFonts w:ascii="Montserrat" w:eastAsia="Times New Roman" w:hAnsi="Montserrat" w:cs="Times New Roman"/>
                <w:b/>
                <w:bCs/>
                <w:color w:val="000000"/>
                <w:lang w:val="es-MX"/>
              </w:rPr>
            </w:pPr>
            <w:r w:rsidRPr="00C33ACA">
              <w:rPr>
                <w:rFonts w:ascii="Montserrat" w:eastAsia="Times New Roman" w:hAnsi="Montserrat" w:cs="Times New Roman"/>
                <w:b/>
                <w:bCs/>
                <w:color w:val="000000"/>
                <w:lang w:val="es-MX"/>
              </w:rPr>
              <w:t>Concepto</w:t>
            </w:r>
          </w:p>
        </w:tc>
        <w:tc>
          <w:tcPr>
            <w:tcW w:w="2245" w:type="dxa"/>
            <w:shd w:val="clear" w:color="auto" w:fill="D9D9D9" w:themeFill="background1" w:themeFillShade="D9"/>
            <w:noWrap/>
            <w:vAlign w:val="center"/>
            <w:hideMark/>
          </w:tcPr>
          <w:p w14:paraId="0F6F0A19" w14:textId="77777777" w:rsidR="00D05661" w:rsidRPr="00726BD5" w:rsidRDefault="00D05661" w:rsidP="00C33ACA">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27" w:type="dxa"/>
            <w:shd w:val="clear" w:color="auto" w:fill="D9D9D9" w:themeFill="background1" w:themeFillShade="D9"/>
            <w:noWrap/>
            <w:vAlign w:val="center"/>
            <w:hideMark/>
          </w:tcPr>
          <w:p w14:paraId="31E327E4" w14:textId="77777777" w:rsidR="00D05661" w:rsidRPr="00726BD5" w:rsidRDefault="00D05661" w:rsidP="00C33ACA">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D05661" w:rsidRPr="00726BD5" w14:paraId="7D39B903" w14:textId="77777777" w:rsidTr="00C33ACA">
        <w:trPr>
          <w:trHeight w:val="350"/>
        </w:trPr>
        <w:tc>
          <w:tcPr>
            <w:tcW w:w="4507" w:type="dxa"/>
            <w:shd w:val="clear" w:color="auto" w:fill="auto"/>
            <w:vAlign w:val="center"/>
            <w:hideMark/>
          </w:tcPr>
          <w:p w14:paraId="6BF4FBF1"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Servicios Personales</w:t>
            </w:r>
          </w:p>
        </w:tc>
        <w:tc>
          <w:tcPr>
            <w:tcW w:w="2245" w:type="dxa"/>
            <w:shd w:val="clear" w:color="auto" w:fill="auto"/>
            <w:vAlign w:val="center"/>
            <w:hideMark/>
          </w:tcPr>
          <w:p w14:paraId="30722EC8"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4,093,986,329</w:t>
            </w:r>
          </w:p>
        </w:tc>
        <w:tc>
          <w:tcPr>
            <w:tcW w:w="2227" w:type="dxa"/>
            <w:shd w:val="clear" w:color="auto" w:fill="auto"/>
            <w:vAlign w:val="center"/>
            <w:hideMark/>
          </w:tcPr>
          <w:p w14:paraId="27798D98"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8,041,268,389</w:t>
            </w:r>
          </w:p>
        </w:tc>
      </w:tr>
      <w:tr w:rsidR="00D05661" w:rsidRPr="00726BD5" w14:paraId="57DEC61B" w14:textId="77777777" w:rsidTr="00C33ACA">
        <w:trPr>
          <w:trHeight w:val="350"/>
        </w:trPr>
        <w:tc>
          <w:tcPr>
            <w:tcW w:w="4507" w:type="dxa"/>
            <w:shd w:val="clear" w:color="auto" w:fill="auto"/>
            <w:vAlign w:val="center"/>
            <w:hideMark/>
          </w:tcPr>
          <w:p w14:paraId="2A7B9C28"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Materiales y Suministros</w:t>
            </w:r>
          </w:p>
        </w:tc>
        <w:tc>
          <w:tcPr>
            <w:tcW w:w="2245" w:type="dxa"/>
            <w:shd w:val="clear" w:color="auto" w:fill="auto"/>
            <w:vAlign w:val="center"/>
            <w:hideMark/>
          </w:tcPr>
          <w:p w14:paraId="63226BF1"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309,461,445</w:t>
            </w:r>
          </w:p>
        </w:tc>
        <w:tc>
          <w:tcPr>
            <w:tcW w:w="2227" w:type="dxa"/>
            <w:shd w:val="clear" w:color="auto" w:fill="auto"/>
            <w:vAlign w:val="center"/>
            <w:hideMark/>
          </w:tcPr>
          <w:p w14:paraId="3A93EC58"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1,033,168,094</w:t>
            </w:r>
          </w:p>
        </w:tc>
      </w:tr>
      <w:tr w:rsidR="00D05661" w:rsidRPr="00726BD5" w14:paraId="22AD732C" w14:textId="77777777" w:rsidTr="00C33ACA">
        <w:trPr>
          <w:trHeight w:val="350"/>
        </w:trPr>
        <w:tc>
          <w:tcPr>
            <w:tcW w:w="4507" w:type="dxa"/>
            <w:shd w:val="clear" w:color="auto" w:fill="auto"/>
            <w:vAlign w:val="center"/>
            <w:hideMark/>
          </w:tcPr>
          <w:p w14:paraId="1862E75B"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Servicios Generales</w:t>
            </w:r>
          </w:p>
        </w:tc>
        <w:tc>
          <w:tcPr>
            <w:tcW w:w="2245" w:type="dxa"/>
            <w:shd w:val="clear" w:color="auto" w:fill="auto"/>
            <w:vAlign w:val="center"/>
            <w:hideMark/>
          </w:tcPr>
          <w:p w14:paraId="255256F7"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1,202,174,238</w:t>
            </w:r>
          </w:p>
        </w:tc>
        <w:tc>
          <w:tcPr>
            <w:tcW w:w="2227" w:type="dxa"/>
            <w:shd w:val="clear" w:color="auto" w:fill="auto"/>
            <w:vAlign w:val="center"/>
            <w:hideMark/>
          </w:tcPr>
          <w:p w14:paraId="62DF1174"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3,130,857,995</w:t>
            </w:r>
          </w:p>
        </w:tc>
      </w:tr>
      <w:tr w:rsidR="00D05661" w:rsidRPr="00726BD5" w14:paraId="5F794AAB" w14:textId="77777777" w:rsidTr="00C33ACA">
        <w:trPr>
          <w:trHeight w:val="701"/>
        </w:trPr>
        <w:tc>
          <w:tcPr>
            <w:tcW w:w="4507" w:type="dxa"/>
            <w:shd w:val="clear" w:color="auto" w:fill="auto"/>
            <w:vAlign w:val="center"/>
            <w:hideMark/>
          </w:tcPr>
          <w:p w14:paraId="73282544"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Transferencias Internas y Asignaciones al Sector Público</w:t>
            </w:r>
          </w:p>
        </w:tc>
        <w:tc>
          <w:tcPr>
            <w:tcW w:w="2245" w:type="dxa"/>
            <w:shd w:val="clear" w:color="auto" w:fill="auto"/>
            <w:vAlign w:val="center"/>
            <w:hideMark/>
          </w:tcPr>
          <w:p w14:paraId="662A8A14"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32,027</w:t>
            </w:r>
          </w:p>
        </w:tc>
        <w:tc>
          <w:tcPr>
            <w:tcW w:w="2227" w:type="dxa"/>
            <w:shd w:val="clear" w:color="auto" w:fill="auto"/>
            <w:vAlign w:val="center"/>
            <w:hideMark/>
          </w:tcPr>
          <w:p w14:paraId="08FFFC28"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4,388,928</w:t>
            </w:r>
          </w:p>
        </w:tc>
      </w:tr>
      <w:tr w:rsidR="00D05661" w:rsidRPr="00726BD5" w14:paraId="2BB0E9B1" w14:textId="77777777" w:rsidTr="00C33ACA">
        <w:trPr>
          <w:trHeight w:val="350"/>
        </w:trPr>
        <w:tc>
          <w:tcPr>
            <w:tcW w:w="4507" w:type="dxa"/>
            <w:shd w:val="clear" w:color="auto" w:fill="auto"/>
            <w:vAlign w:val="center"/>
            <w:hideMark/>
          </w:tcPr>
          <w:p w14:paraId="4B326E8B"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Transferencias al Resto del Sector Público</w:t>
            </w:r>
          </w:p>
        </w:tc>
        <w:tc>
          <w:tcPr>
            <w:tcW w:w="2245" w:type="dxa"/>
            <w:shd w:val="clear" w:color="auto" w:fill="auto"/>
            <w:vAlign w:val="center"/>
            <w:hideMark/>
          </w:tcPr>
          <w:p w14:paraId="68C79DF7"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20,825,908</w:t>
            </w:r>
          </w:p>
        </w:tc>
        <w:tc>
          <w:tcPr>
            <w:tcW w:w="2227" w:type="dxa"/>
            <w:shd w:val="clear" w:color="auto" w:fill="auto"/>
            <w:vAlign w:val="center"/>
            <w:hideMark/>
          </w:tcPr>
          <w:p w14:paraId="4D03F3E8"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157,829,202</w:t>
            </w:r>
          </w:p>
        </w:tc>
      </w:tr>
      <w:tr w:rsidR="00D05661" w:rsidRPr="00726BD5" w14:paraId="27A22784" w14:textId="77777777" w:rsidTr="00C33ACA">
        <w:trPr>
          <w:trHeight w:val="350"/>
        </w:trPr>
        <w:tc>
          <w:tcPr>
            <w:tcW w:w="4507" w:type="dxa"/>
            <w:shd w:val="clear" w:color="auto" w:fill="auto"/>
            <w:vAlign w:val="center"/>
            <w:hideMark/>
          </w:tcPr>
          <w:p w14:paraId="3D02000C"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Subsidios y Subvenciones</w:t>
            </w:r>
          </w:p>
        </w:tc>
        <w:tc>
          <w:tcPr>
            <w:tcW w:w="2245" w:type="dxa"/>
            <w:shd w:val="clear" w:color="auto" w:fill="auto"/>
            <w:vAlign w:val="center"/>
            <w:hideMark/>
          </w:tcPr>
          <w:p w14:paraId="10C8908C"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0</w:t>
            </w:r>
          </w:p>
        </w:tc>
        <w:tc>
          <w:tcPr>
            <w:tcW w:w="2227" w:type="dxa"/>
            <w:shd w:val="clear" w:color="auto" w:fill="auto"/>
            <w:vAlign w:val="center"/>
            <w:hideMark/>
          </w:tcPr>
          <w:p w14:paraId="795E0992"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49,769,815</w:t>
            </w:r>
          </w:p>
        </w:tc>
      </w:tr>
      <w:tr w:rsidR="00D05661" w:rsidRPr="00726BD5" w14:paraId="6086C696" w14:textId="77777777" w:rsidTr="00C33ACA">
        <w:trPr>
          <w:trHeight w:val="350"/>
        </w:trPr>
        <w:tc>
          <w:tcPr>
            <w:tcW w:w="4507" w:type="dxa"/>
            <w:shd w:val="clear" w:color="auto" w:fill="auto"/>
            <w:vAlign w:val="center"/>
            <w:hideMark/>
          </w:tcPr>
          <w:p w14:paraId="12D2C800"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Ayudas Sociales</w:t>
            </w:r>
          </w:p>
        </w:tc>
        <w:tc>
          <w:tcPr>
            <w:tcW w:w="2245" w:type="dxa"/>
            <w:shd w:val="clear" w:color="auto" w:fill="auto"/>
            <w:vAlign w:val="center"/>
            <w:hideMark/>
          </w:tcPr>
          <w:p w14:paraId="3B4F61B2"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441,868,065</w:t>
            </w:r>
          </w:p>
        </w:tc>
        <w:tc>
          <w:tcPr>
            <w:tcW w:w="2227" w:type="dxa"/>
            <w:shd w:val="clear" w:color="auto" w:fill="auto"/>
            <w:vAlign w:val="center"/>
            <w:hideMark/>
          </w:tcPr>
          <w:p w14:paraId="6F63BE41"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806,403,866</w:t>
            </w:r>
          </w:p>
        </w:tc>
      </w:tr>
      <w:tr w:rsidR="00D05661" w:rsidRPr="00726BD5" w14:paraId="170263FB" w14:textId="77777777" w:rsidTr="00C33ACA">
        <w:trPr>
          <w:trHeight w:val="350"/>
        </w:trPr>
        <w:tc>
          <w:tcPr>
            <w:tcW w:w="4507" w:type="dxa"/>
            <w:shd w:val="clear" w:color="auto" w:fill="auto"/>
            <w:vAlign w:val="center"/>
            <w:hideMark/>
          </w:tcPr>
          <w:p w14:paraId="2D7D55D0"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Pensiones y Jubilaciones</w:t>
            </w:r>
          </w:p>
        </w:tc>
        <w:tc>
          <w:tcPr>
            <w:tcW w:w="2245" w:type="dxa"/>
            <w:shd w:val="clear" w:color="auto" w:fill="auto"/>
            <w:vAlign w:val="center"/>
            <w:hideMark/>
          </w:tcPr>
          <w:p w14:paraId="3C51E6ED"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334,475,600</w:t>
            </w:r>
          </w:p>
        </w:tc>
        <w:tc>
          <w:tcPr>
            <w:tcW w:w="2227" w:type="dxa"/>
            <w:shd w:val="clear" w:color="auto" w:fill="auto"/>
            <w:vAlign w:val="center"/>
            <w:hideMark/>
          </w:tcPr>
          <w:p w14:paraId="2D14EE30"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612,197,562</w:t>
            </w:r>
          </w:p>
        </w:tc>
      </w:tr>
      <w:tr w:rsidR="00D05661" w:rsidRPr="00726BD5" w14:paraId="401A7963" w14:textId="77777777" w:rsidTr="00C33ACA">
        <w:trPr>
          <w:trHeight w:val="685"/>
        </w:trPr>
        <w:tc>
          <w:tcPr>
            <w:tcW w:w="4507" w:type="dxa"/>
            <w:shd w:val="clear" w:color="auto" w:fill="auto"/>
            <w:vAlign w:val="center"/>
            <w:hideMark/>
          </w:tcPr>
          <w:p w14:paraId="51C26508"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Transferencias a Fideicomisos, Mandatos y Contratos Análogos</w:t>
            </w:r>
          </w:p>
        </w:tc>
        <w:tc>
          <w:tcPr>
            <w:tcW w:w="2245" w:type="dxa"/>
            <w:shd w:val="clear" w:color="auto" w:fill="auto"/>
            <w:vAlign w:val="center"/>
            <w:hideMark/>
          </w:tcPr>
          <w:p w14:paraId="29AABD5F"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105,166,575</w:t>
            </w:r>
          </w:p>
        </w:tc>
        <w:tc>
          <w:tcPr>
            <w:tcW w:w="2227" w:type="dxa"/>
            <w:shd w:val="clear" w:color="auto" w:fill="auto"/>
            <w:vAlign w:val="center"/>
            <w:hideMark/>
          </w:tcPr>
          <w:p w14:paraId="162FBAB5"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268,081,088</w:t>
            </w:r>
          </w:p>
        </w:tc>
      </w:tr>
      <w:tr w:rsidR="00D05661" w:rsidRPr="00726BD5" w14:paraId="587DFF20" w14:textId="77777777" w:rsidTr="00C33ACA">
        <w:trPr>
          <w:trHeight w:val="350"/>
        </w:trPr>
        <w:tc>
          <w:tcPr>
            <w:tcW w:w="4507" w:type="dxa"/>
            <w:shd w:val="clear" w:color="auto" w:fill="auto"/>
            <w:vAlign w:val="center"/>
            <w:hideMark/>
          </w:tcPr>
          <w:p w14:paraId="52AF9751"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lastRenderedPageBreak/>
              <w:t>Participaciones</w:t>
            </w:r>
          </w:p>
        </w:tc>
        <w:tc>
          <w:tcPr>
            <w:tcW w:w="2245" w:type="dxa"/>
            <w:shd w:val="clear" w:color="auto" w:fill="auto"/>
            <w:vAlign w:val="center"/>
            <w:hideMark/>
          </w:tcPr>
          <w:p w14:paraId="354CDBCA"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4,939,884,055</w:t>
            </w:r>
          </w:p>
        </w:tc>
        <w:tc>
          <w:tcPr>
            <w:tcW w:w="2227" w:type="dxa"/>
            <w:shd w:val="clear" w:color="auto" w:fill="auto"/>
            <w:vAlign w:val="center"/>
            <w:hideMark/>
          </w:tcPr>
          <w:p w14:paraId="6098944C"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8,359,095,113</w:t>
            </w:r>
          </w:p>
        </w:tc>
      </w:tr>
      <w:tr w:rsidR="00D05661" w:rsidRPr="00726BD5" w14:paraId="74346DE2" w14:textId="77777777" w:rsidTr="00C33ACA">
        <w:trPr>
          <w:trHeight w:val="350"/>
        </w:trPr>
        <w:tc>
          <w:tcPr>
            <w:tcW w:w="4507" w:type="dxa"/>
            <w:shd w:val="clear" w:color="auto" w:fill="auto"/>
            <w:vAlign w:val="center"/>
            <w:hideMark/>
          </w:tcPr>
          <w:p w14:paraId="74B14E75"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Aportaciones</w:t>
            </w:r>
          </w:p>
        </w:tc>
        <w:tc>
          <w:tcPr>
            <w:tcW w:w="2245" w:type="dxa"/>
            <w:shd w:val="clear" w:color="auto" w:fill="auto"/>
            <w:vAlign w:val="center"/>
            <w:hideMark/>
          </w:tcPr>
          <w:p w14:paraId="511BC48E"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7,423,230,091</w:t>
            </w:r>
          </w:p>
        </w:tc>
        <w:tc>
          <w:tcPr>
            <w:tcW w:w="2227" w:type="dxa"/>
            <w:shd w:val="clear" w:color="auto" w:fill="auto"/>
            <w:vAlign w:val="center"/>
            <w:hideMark/>
          </w:tcPr>
          <w:p w14:paraId="315064B6"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13,112,333,706</w:t>
            </w:r>
          </w:p>
        </w:tc>
      </w:tr>
      <w:tr w:rsidR="00D05661" w:rsidRPr="00726BD5" w14:paraId="6050D1B8" w14:textId="77777777" w:rsidTr="00C33ACA">
        <w:trPr>
          <w:trHeight w:val="350"/>
        </w:trPr>
        <w:tc>
          <w:tcPr>
            <w:tcW w:w="4507" w:type="dxa"/>
            <w:shd w:val="clear" w:color="auto" w:fill="auto"/>
            <w:vAlign w:val="center"/>
            <w:hideMark/>
          </w:tcPr>
          <w:p w14:paraId="1A687A27"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Convenios</w:t>
            </w:r>
          </w:p>
        </w:tc>
        <w:tc>
          <w:tcPr>
            <w:tcW w:w="2245" w:type="dxa"/>
            <w:shd w:val="clear" w:color="auto" w:fill="auto"/>
            <w:vAlign w:val="center"/>
            <w:hideMark/>
          </w:tcPr>
          <w:p w14:paraId="3522F82B"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35,572,886</w:t>
            </w:r>
          </w:p>
        </w:tc>
        <w:tc>
          <w:tcPr>
            <w:tcW w:w="2227" w:type="dxa"/>
            <w:shd w:val="clear" w:color="auto" w:fill="auto"/>
            <w:vAlign w:val="center"/>
            <w:hideMark/>
          </w:tcPr>
          <w:p w14:paraId="199766D6"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48,136,750</w:t>
            </w:r>
          </w:p>
        </w:tc>
      </w:tr>
      <w:tr w:rsidR="00D05661" w:rsidRPr="00726BD5" w14:paraId="05BB740A" w14:textId="77777777" w:rsidTr="00C33ACA">
        <w:trPr>
          <w:trHeight w:val="350"/>
        </w:trPr>
        <w:tc>
          <w:tcPr>
            <w:tcW w:w="4507" w:type="dxa"/>
            <w:shd w:val="clear" w:color="auto" w:fill="auto"/>
            <w:vAlign w:val="center"/>
            <w:hideMark/>
          </w:tcPr>
          <w:p w14:paraId="178A5F9B"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Intereses de la Deuda Pública</w:t>
            </w:r>
          </w:p>
        </w:tc>
        <w:tc>
          <w:tcPr>
            <w:tcW w:w="2245" w:type="dxa"/>
            <w:shd w:val="clear" w:color="auto" w:fill="auto"/>
            <w:vAlign w:val="center"/>
            <w:hideMark/>
          </w:tcPr>
          <w:p w14:paraId="32827608"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786,349,806</w:t>
            </w:r>
          </w:p>
        </w:tc>
        <w:tc>
          <w:tcPr>
            <w:tcW w:w="2227" w:type="dxa"/>
            <w:shd w:val="clear" w:color="auto" w:fill="auto"/>
            <w:vAlign w:val="center"/>
            <w:hideMark/>
          </w:tcPr>
          <w:p w14:paraId="51F6D7A3"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1,898,888,585</w:t>
            </w:r>
          </w:p>
        </w:tc>
      </w:tr>
      <w:tr w:rsidR="00D05661" w:rsidRPr="00726BD5" w14:paraId="024CE6B1" w14:textId="77777777" w:rsidTr="00C33ACA">
        <w:trPr>
          <w:trHeight w:val="350"/>
        </w:trPr>
        <w:tc>
          <w:tcPr>
            <w:tcW w:w="4507" w:type="dxa"/>
            <w:shd w:val="clear" w:color="auto" w:fill="auto"/>
            <w:vAlign w:val="center"/>
            <w:hideMark/>
          </w:tcPr>
          <w:p w14:paraId="035F65B9"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Gastos de la Deuda Pública</w:t>
            </w:r>
          </w:p>
        </w:tc>
        <w:tc>
          <w:tcPr>
            <w:tcW w:w="2245" w:type="dxa"/>
            <w:shd w:val="clear" w:color="auto" w:fill="auto"/>
            <w:vAlign w:val="center"/>
            <w:hideMark/>
          </w:tcPr>
          <w:p w14:paraId="7DCE259F"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1,086,012</w:t>
            </w:r>
          </w:p>
        </w:tc>
        <w:tc>
          <w:tcPr>
            <w:tcW w:w="2227" w:type="dxa"/>
            <w:shd w:val="clear" w:color="auto" w:fill="auto"/>
            <w:vAlign w:val="center"/>
            <w:hideMark/>
          </w:tcPr>
          <w:p w14:paraId="68864689"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368,408,353</w:t>
            </w:r>
          </w:p>
        </w:tc>
      </w:tr>
      <w:tr w:rsidR="00D05661" w:rsidRPr="00726BD5" w14:paraId="47072714" w14:textId="77777777" w:rsidTr="00C33ACA">
        <w:trPr>
          <w:trHeight w:val="350"/>
        </w:trPr>
        <w:tc>
          <w:tcPr>
            <w:tcW w:w="4507" w:type="dxa"/>
            <w:shd w:val="clear" w:color="auto" w:fill="auto"/>
            <w:vAlign w:val="center"/>
            <w:hideMark/>
          </w:tcPr>
          <w:p w14:paraId="5B3ABD83"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Costo por Coberturas</w:t>
            </w:r>
          </w:p>
        </w:tc>
        <w:tc>
          <w:tcPr>
            <w:tcW w:w="2245" w:type="dxa"/>
            <w:shd w:val="clear" w:color="auto" w:fill="auto"/>
            <w:vAlign w:val="center"/>
            <w:hideMark/>
          </w:tcPr>
          <w:p w14:paraId="778520AF"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1,968,550</w:t>
            </w:r>
          </w:p>
        </w:tc>
        <w:tc>
          <w:tcPr>
            <w:tcW w:w="2227" w:type="dxa"/>
            <w:shd w:val="clear" w:color="auto" w:fill="auto"/>
            <w:vAlign w:val="center"/>
            <w:hideMark/>
          </w:tcPr>
          <w:p w14:paraId="4943BF1A"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0</w:t>
            </w:r>
          </w:p>
        </w:tc>
      </w:tr>
      <w:tr w:rsidR="00D05661" w:rsidRPr="00726BD5" w14:paraId="69CB62DB" w14:textId="77777777" w:rsidTr="00C33ACA">
        <w:trPr>
          <w:trHeight w:val="685"/>
        </w:trPr>
        <w:tc>
          <w:tcPr>
            <w:tcW w:w="4507" w:type="dxa"/>
            <w:shd w:val="clear" w:color="auto" w:fill="auto"/>
            <w:vAlign w:val="center"/>
            <w:hideMark/>
          </w:tcPr>
          <w:p w14:paraId="787313E9"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Estimaciones, Depreciaciones, Deterioros, Obsolescencia y Amortizaciones</w:t>
            </w:r>
          </w:p>
        </w:tc>
        <w:tc>
          <w:tcPr>
            <w:tcW w:w="2245" w:type="dxa"/>
            <w:shd w:val="clear" w:color="auto" w:fill="auto"/>
            <w:vAlign w:val="center"/>
            <w:hideMark/>
          </w:tcPr>
          <w:p w14:paraId="71CFD631"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167,171,582</w:t>
            </w:r>
          </w:p>
        </w:tc>
        <w:tc>
          <w:tcPr>
            <w:tcW w:w="2227" w:type="dxa"/>
            <w:shd w:val="clear" w:color="auto" w:fill="auto"/>
            <w:vAlign w:val="center"/>
            <w:hideMark/>
          </w:tcPr>
          <w:p w14:paraId="4D58FC14"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389,315,519</w:t>
            </w:r>
          </w:p>
        </w:tc>
      </w:tr>
      <w:tr w:rsidR="00D05661" w:rsidRPr="00726BD5" w14:paraId="471679AC" w14:textId="77777777" w:rsidTr="00C33ACA">
        <w:trPr>
          <w:trHeight w:val="350"/>
        </w:trPr>
        <w:tc>
          <w:tcPr>
            <w:tcW w:w="4507" w:type="dxa"/>
            <w:shd w:val="clear" w:color="auto" w:fill="auto"/>
            <w:vAlign w:val="center"/>
            <w:hideMark/>
          </w:tcPr>
          <w:p w14:paraId="3A9C525C" w14:textId="77777777" w:rsidR="00D05661" w:rsidRPr="00726BD5" w:rsidRDefault="00D05661" w:rsidP="00C33ACA">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Inversión Pública no Capitalizable</w:t>
            </w:r>
          </w:p>
        </w:tc>
        <w:tc>
          <w:tcPr>
            <w:tcW w:w="2245" w:type="dxa"/>
            <w:shd w:val="clear" w:color="auto" w:fill="auto"/>
            <w:vAlign w:val="center"/>
            <w:hideMark/>
          </w:tcPr>
          <w:p w14:paraId="1A10755B"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253,005,012</w:t>
            </w:r>
          </w:p>
        </w:tc>
        <w:tc>
          <w:tcPr>
            <w:tcW w:w="2227" w:type="dxa"/>
            <w:shd w:val="clear" w:color="auto" w:fill="auto"/>
            <w:vAlign w:val="center"/>
            <w:hideMark/>
          </w:tcPr>
          <w:p w14:paraId="0472E70C" w14:textId="77777777" w:rsidR="00D05661" w:rsidRPr="00726BD5" w:rsidRDefault="00D05661" w:rsidP="00C33ACA">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1,011,745,016</w:t>
            </w:r>
          </w:p>
        </w:tc>
      </w:tr>
      <w:tr w:rsidR="00D05661" w:rsidRPr="00726BD5" w14:paraId="24C43479" w14:textId="77777777" w:rsidTr="00C33ACA">
        <w:trPr>
          <w:trHeight w:val="350"/>
        </w:trPr>
        <w:tc>
          <w:tcPr>
            <w:tcW w:w="4507" w:type="dxa"/>
            <w:shd w:val="clear" w:color="auto" w:fill="auto"/>
            <w:vAlign w:val="center"/>
            <w:hideMark/>
          </w:tcPr>
          <w:p w14:paraId="44468BCF" w14:textId="77777777" w:rsidR="00D05661" w:rsidRPr="00E859AF" w:rsidRDefault="00D05661" w:rsidP="00C33ACA">
            <w:pPr>
              <w:rPr>
                <w:rFonts w:ascii="Montserrat" w:eastAsia="Times New Roman" w:hAnsi="Montserrat" w:cs="Times New Roman"/>
                <w:b/>
                <w:bCs/>
                <w:color w:val="000000"/>
                <w:lang w:val="es-MX"/>
              </w:rPr>
            </w:pPr>
            <w:r w:rsidRPr="00E859AF">
              <w:rPr>
                <w:rFonts w:ascii="Montserrat" w:eastAsia="Times New Roman" w:hAnsi="Montserrat" w:cs="Times New Roman"/>
                <w:b/>
                <w:bCs/>
                <w:color w:val="000000"/>
                <w:lang w:val="es-MX"/>
              </w:rPr>
              <w:t>Total de Gastos y Otras Pérdidas</w:t>
            </w:r>
          </w:p>
        </w:tc>
        <w:tc>
          <w:tcPr>
            <w:tcW w:w="2245" w:type="dxa"/>
            <w:shd w:val="clear" w:color="auto" w:fill="auto"/>
            <w:vAlign w:val="center"/>
            <w:hideMark/>
          </w:tcPr>
          <w:p w14:paraId="616E533F" w14:textId="77777777" w:rsidR="00D05661" w:rsidRPr="00726BD5" w:rsidRDefault="00D05661" w:rsidP="00C33ACA">
            <w:pPr>
              <w:jc w:val="right"/>
              <w:rPr>
                <w:rFonts w:ascii="Montserrat" w:eastAsia="Times New Roman" w:hAnsi="Montserrat" w:cs="Times New Roman"/>
                <w:b/>
                <w:bCs/>
                <w:color w:val="000000"/>
                <w:lang w:val="es-MX"/>
              </w:rPr>
            </w:pPr>
            <w:r w:rsidRPr="00726BD5">
              <w:rPr>
                <w:rFonts w:ascii="Montserrat" w:eastAsia="Times New Roman" w:hAnsi="Montserrat" w:cs="Times New Roman"/>
                <w:b/>
                <w:bCs/>
                <w:color w:val="000000"/>
                <w:lang w:val="es-MX"/>
              </w:rPr>
              <w:t>20,116,258,182</w:t>
            </w:r>
          </w:p>
        </w:tc>
        <w:tc>
          <w:tcPr>
            <w:tcW w:w="2227" w:type="dxa"/>
            <w:shd w:val="clear" w:color="auto" w:fill="auto"/>
            <w:vAlign w:val="center"/>
            <w:hideMark/>
          </w:tcPr>
          <w:p w14:paraId="607C89ED" w14:textId="77777777" w:rsidR="00D05661" w:rsidRPr="00726BD5" w:rsidRDefault="00D05661" w:rsidP="00C33ACA">
            <w:pPr>
              <w:jc w:val="right"/>
              <w:rPr>
                <w:rFonts w:ascii="Montserrat" w:eastAsia="Times New Roman" w:hAnsi="Montserrat" w:cs="Times New Roman"/>
                <w:b/>
                <w:bCs/>
                <w:color w:val="000000"/>
                <w:lang w:val="es-MX"/>
              </w:rPr>
            </w:pPr>
            <w:r w:rsidRPr="00726BD5">
              <w:rPr>
                <w:rFonts w:ascii="Montserrat" w:eastAsia="Times New Roman" w:hAnsi="Montserrat" w:cs="Times New Roman"/>
                <w:b/>
                <w:bCs/>
                <w:color w:val="000000"/>
                <w:lang w:val="es-MX"/>
              </w:rPr>
              <w:t>39,291,887,980</w:t>
            </w:r>
          </w:p>
        </w:tc>
      </w:tr>
    </w:tbl>
    <w:p w14:paraId="161DC49A" w14:textId="77777777" w:rsidR="00D05661" w:rsidRPr="00726BD5" w:rsidRDefault="00D05661" w:rsidP="00D05661">
      <w:pPr>
        <w:rPr>
          <w:rFonts w:ascii="Montserrat" w:hAnsi="Montserrat"/>
          <w:b/>
          <w:bCs/>
          <w:color w:val="000000"/>
        </w:rPr>
      </w:pPr>
    </w:p>
    <w:p w14:paraId="0F0BF5BB" w14:textId="77777777" w:rsidR="00D05661" w:rsidRPr="00726BD5" w:rsidRDefault="00D05661" w:rsidP="00D05661">
      <w:pPr>
        <w:spacing w:line="224" w:lineRule="exact"/>
        <w:ind w:left="720"/>
        <w:jc w:val="both"/>
        <w:rPr>
          <w:rFonts w:ascii="Montserrat" w:hAnsi="Montserrat" w:cs="Arial"/>
          <w:b/>
          <w:lang w:val="es-MX"/>
        </w:rPr>
      </w:pPr>
    </w:p>
    <w:p w14:paraId="58DEB9BC" w14:textId="77777777" w:rsidR="00D05661" w:rsidRPr="00726BD5" w:rsidRDefault="00D05661" w:rsidP="00D05661">
      <w:pPr>
        <w:spacing w:line="224" w:lineRule="exact"/>
        <w:jc w:val="both"/>
        <w:rPr>
          <w:rFonts w:ascii="Montserrat" w:hAnsi="Montserrat"/>
          <w:b/>
          <w:color w:val="000000"/>
        </w:rPr>
      </w:pPr>
      <w:bookmarkStart w:id="10" w:name="_Hlk157387576"/>
      <w:r w:rsidRPr="00726BD5">
        <w:rPr>
          <w:rFonts w:ascii="Montserrat" w:hAnsi="Montserrat"/>
          <w:b/>
          <w:color w:val="000000"/>
        </w:rPr>
        <w:t>Nota 3.- Resultados del Ejercicio (Ahorro / Desahorro):</w:t>
      </w:r>
      <w:bookmarkEnd w:id="10"/>
    </w:p>
    <w:p w14:paraId="738840FA" w14:textId="77777777" w:rsidR="00D05661" w:rsidRPr="00726BD5" w:rsidRDefault="00D05661" w:rsidP="00D05661">
      <w:pPr>
        <w:widowControl w:val="0"/>
        <w:jc w:val="both"/>
        <w:rPr>
          <w:rFonts w:ascii="Montserrat" w:hAnsi="Montserrat"/>
        </w:rPr>
      </w:pPr>
    </w:p>
    <w:p w14:paraId="4D31B54C" w14:textId="77777777" w:rsidR="00D05661" w:rsidRPr="00726BD5" w:rsidRDefault="00D05661" w:rsidP="00D05661">
      <w:pPr>
        <w:widowControl w:val="0"/>
        <w:jc w:val="center"/>
        <w:rPr>
          <w:rFonts w:ascii="Montserrat" w:hAnsi="Montserrat"/>
        </w:rPr>
      </w:pPr>
      <w:r w:rsidRPr="00726BD5">
        <w:rPr>
          <w:rFonts w:ascii="Montserrat" w:hAnsi="Montserrat"/>
          <w:b/>
        </w:rPr>
        <w:t>(Pesos)</w:t>
      </w:r>
    </w:p>
    <w:tbl>
      <w:tblPr>
        <w:tblW w:w="9024" w:type="dxa"/>
        <w:tblInd w:w="55" w:type="dxa"/>
        <w:tblCellMar>
          <w:left w:w="70" w:type="dxa"/>
          <w:right w:w="70" w:type="dxa"/>
        </w:tblCellMar>
        <w:tblLook w:val="04A0" w:firstRow="1" w:lastRow="0" w:firstColumn="1" w:lastColumn="0" w:noHBand="0" w:noVBand="1"/>
      </w:tblPr>
      <w:tblGrid>
        <w:gridCol w:w="4530"/>
        <w:gridCol w:w="2256"/>
        <w:gridCol w:w="2238"/>
      </w:tblGrid>
      <w:tr w:rsidR="00D05661" w:rsidRPr="00726BD5" w14:paraId="01DACB1D" w14:textId="77777777" w:rsidTr="005D0CB2">
        <w:trPr>
          <w:trHeight w:val="286"/>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70515D4"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5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9232B19"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3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5394A0F"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D05661" w:rsidRPr="00726BD5" w14:paraId="1AEBC226" w14:textId="77777777" w:rsidTr="00BE0300">
        <w:trPr>
          <w:trHeight w:val="273"/>
        </w:trPr>
        <w:tc>
          <w:tcPr>
            <w:tcW w:w="4530" w:type="dxa"/>
            <w:tcBorders>
              <w:top w:val="nil"/>
              <w:left w:val="single" w:sz="8" w:space="0" w:color="auto"/>
              <w:bottom w:val="single" w:sz="8" w:space="0" w:color="auto"/>
              <w:right w:val="single" w:sz="8" w:space="0" w:color="auto"/>
            </w:tcBorders>
            <w:shd w:val="clear" w:color="000000" w:fill="FFFFFF"/>
            <w:vAlign w:val="center"/>
            <w:hideMark/>
          </w:tcPr>
          <w:p w14:paraId="41AECAB6"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Resultados del Ejercicio (Ahorro / Desahorro)</w:t>
            </w:r>
          </w:p>
        </w:tc>
        <w:tc>
          <w:tcPr>
            <w:tcW w:w="2256" w:type="dxa"/>
            <w:tcBorders>
              <w:top w:val="nil"/>
              <w:left w:val="nil"/>
              <w:bottom w:val="single" w:sz="8" w:space="0" w:color="auto"/>
              <w:right w:val="single" w:sz="8" w:space="0" w:color="auto"/>
            </w:tcBorders>
            <w:shd w:val="clear" w:color="000000" w:fill="FFFFFF"/>
            <w:noWrap/>
            <w:vAlign w:val="center"/>
            <w:hideMark/>
          </w:tcPr>
          <w:p w14:paraId="69A38447"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9,117,338,649</w:t>
            </w:r>
          </w:p>
        </w:tc>
        <w:tc>
          <w:tcPr>
            <w:tcW w:w="2238" w:type="dxa"/>
            <w:tcBorders>
              <w:top w:val="nil"/>
              <w:left w:val="nil"/>
              <w:bottom w:val="single" w:sz="8" w:space="0" w:color="auto"/>
              <w:right w:val="single" w:sz="8" w:space="0" w:color="auto"/>
            </w:tcBorders>
            <w:shd w:val="clear" w:color="000000" w:fill="FFFFFF"/>
            <w:noWrap/>
            <w:vAlign w:val="center"/>
            <w:hideMark/>
          </w:tcPr>
          <w:p w14:paraId="411698AB"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9,117,338,649</w:t>
            </w:r>
          </w:p>
        </w:tc>
      </w:tr>
      <w:tr w:rsidR="00D05661" w:rsidRPr="00726BD5" w14:paraId="50D04A3C" w14:textId="77777777" w:rsidTr="00BE0300">
        <w:trPr>
          <w:trHeight w:val="286"/>
        </w:trPr>
        <w:tc>
          <w:tcPr>
            <w:tcW w:w="4530" w:type="dxa"/>
            <w:tcBorders>
              <w:top w:val="nil"/>
              <w:left w:val="single" w:sz="8" w:space="0" w:color="auto"/>
              <w:bottom w:val="single" w:sz="8" w:space="0" w:color="auto"/>
              <w:right w:val="single" w:sz="8" w:space="0" w:color="auto"/>
            </w:tcBorders>
            <w:shd w:val="clear" w:color="000000" w:fill="FFFFFF"/>
            <w:noWrap/>
            <w:vAlign w:val="center"/>
            <w:hideMark/>
          </w:tcPr>
          <w:p w14:paraId="6183E01A" w14:textId="17ADF9D3" w:rsidR="00D05661" w:rsidRPr="00726BD5" w:rsidRDefault="00C33ACA" w:rsidP="00C33ACA">
            <w:pPr>
              <w:rPr>
                <w:rFonts w:ascii="Montserrat" w:eastAsia="Times New Roman" w:hAnsi="Montserrat" w:cs="Arial"/>
                <w:b/>
                <w:bCs/>
                <w:color w:val="000000"/>
                <w:lang w:val="es-MX"/>
              </w:rPr>
            </w:pPr>
            <w:r>
              <w:rPr>
                <w:rFonts w:ascii="Montserrat" w:eastAsia="Times New Roman" w:hAnsi="Montserrat" w:cs="Arial"/>
                <w:b/>
                <w:bCs/>
                <w:color w:val="000000"/>
                <w:lang w:val="es-MX"/>
              </w:rPr>
              <w:t xml:space="preserve">Total </w:t>
            </w:r>
            <w:r w:rsidRPr="00726BD5">
              <w:rPr>
                <w:rFonts w:ascii="Montserrat" w:hAnsi="Montserrat"/>
                <w:b/>
                <w:color w:val="000000"/>
              </w:rPr>
              <w:t>Resultados del Ejercicio (Ahorro / Desahorro)</w:t>
            </w:r>
          </w:p>
        </w:tc>
        <w:tc>
          <w:tcPr>
            <w:tcW w:w="2256" w:type="dxa"/>
            <w:tcBorders>
              <w:top w:val="nil"/>
              <w:left w:val="nil"/>
              <w:bottom w:val="single" w:sz="8" w:space="0" w:color="auto"/>
              <w:right w:val="single" w:sz="8" w:space="0" w:color="auto"/>
            </w:tcBorders>
            <w:shd w:val="clear" w:color="000000" w:fill="FFFFFF"/>
            <w:noWrap/>
            <w:vAlign w:val="center"/>
            <w:hideMark/>
          </w:tcPr>
          <w:p w14:paraId="1B393D68"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9,117,338,649</w:t>
            </w:r>
          </w:p>
        </w:tc>
        <w:tc>
          <w:tcPr>
            <w:tcW w:w="2238" w:type="dxa"/>
            <w:tcBorders>
              <w:top w:val="nil"/>
              <w:left w:val="nil"/>
              <w:bottom w:val="single" w:sz="8" w:space="0" w:color="auto"/>
              <w:right w:val="single" w:sz="8" w:space="0" w:color="auto"/>
            </w:tcBorders>
            <w:shd w:val="clear" w:color="000000" w:fill="FFFFFF"/>
            <w:noWrap/>
            <w:vAlign w:val="center"/>
            <w:hideMark/>
          </w:tcPr>
          <w:p w14:paraId="7DF59133"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9,117,338,649</w:t>
            </w:r>
          </w:p>
        </w:tc>
      </w:tr>
    </w:tbl>
    <w:p w14:paraId="61BCD19C" w14:textId="77777777" w:rsidR="00D05661" w:rsidRPr="00726BD5" w:rsidRDefault="00D05661" w:rsidP="00D05661">
      <w:pPr>
        <w:widowControl w:val="0"/>
        <w:jc w:val="both"/>
        <w:rPr>
          <w:rFonts w:ascii="Montserrat" w:hAnsi="Montserrat"/>
          <w:b/>
        </w:rPr>
      </w:pPr>
    </w:p>
    <w:p w14:paraId="23C24A81" w14:textId="77777777" w:rsidR="00D05661" w:rsidRPr="00726BD5" w:rsidRDefault="00D05661" w:rsidP="00D05661">
      <w:pPr>
        <w:rPr>
          <w:rFonts w:ascii="Montserrat" w:hAnsi="Montserrat"/>
          <w:b/>
          <w:bCs/>
        </w:rPr>
      </w:pPr>
      <w:bookmarkStart w:id="11" w:name="_Hlk157388587"/>
    </w:p>
    <w:p w14:paraId="6FB101DD" w14:textId="77777777" w:rsidR="00D05661" w:rsidRPr="00726BD5" w:rsidRDefault="00D05661" w:rsidP="00D05661">
      <w:pPr>
        <w:rPr>
          <w:rFonts w:ascii="Montserrat" w:hAnsi="Montserrat"/>
          <w:b/>
          <w:bCs/>
        </w:rPr>
      </w:pPr>
      <w:r w:rsidRPr="00726BD5">
        <w:rPr>
          <w:rFonts w:ascii="Montserrat" w:hAnsi="Montserrat"/>
          <w:b/>
          <w:bCs/>
        </w:rPr>
        <w:t>NOTAS AL ESTADO DE SITUACIÓN FINANCIERA</w:t>
      </w:r>
    </w:p>
    <w:p w14:paraId="74A174AB" w14:textId="77777777" w:rsidR="00D05661" w:rsidRPr="00726BD5" w:rsidRDefault="00D05661" w:rsidP="00D05661">
      <w:pPr>
        <w:pStyle w:val="Texto"/>
        <w:spacing w:after="0" w:line="203" w:lineRule="exact"/>
        <w:ind w:firstLine="0"/>
        <w:rPr>
          <w:rFonts w:ascii="Montserrat" w:hAnsi="Montserrat"/>
          <w:b/>
          <w:sz w:val="24"/>
          <w:szCs w:val="24"/>
          <w:lang w:val="es-MX"/>
        </w:rPr>
      </w:pPr>
    </w:p>
    <w:p w14:paraId="2C16778E" w14:textId="77777777" w:rsidR="005D0CB2" w:rsidRPr="00726BD5" w:rsidRDefault="005D0CB2" w:rsidP="00D05661">
      <w:pPr>
        <w:pStyle w:val="Texto"/>
        <w:spacing w:after="0" w:line="203" w:lineRule="exact"/>
        <w:ind w:firstLine="0"/>
        <w:rPr>
          <w:rFonts w:ascii="Montserrat" w:hAnsi="Montserrat"/>
          <w:b/>
          <w:sz w:val="24"/>
          <w:szCs w:val="24"/>
          <w:lang w:val="es-MX"/>
        </w:rPr>
      </w:pPr>
    </w:p>
    <w:p w14:paraId="7105A7D9" w14:textId="77777777" w:rsidR="00D05661" w:rsidRPr="00726BD5" w:rsidRDefault="00D05661" w:rsidP="00D05661">
      <w:pPr>
        <w:pStyle w:val="Texto"/>
        <w:spacing w:after="0" w:line="203" w:lineRule="exact"/>
        <w:ind w:firstLine="0"/>
        <w:rPr>
          <w:rFonts w:ascii="Montserrat" w:hAnsi="Montserrat"/>
          <w:b/>
          <w:sz w:val="24"/>
          <w:szCs w:val="24"/>
          <w:lang w:val="es-MX"/>
        </w:rPr>
      </w:pPr>
    </w:p>
    <w:p w14:paraId="0105270C" w14:textId="77777777" w:rsidR="00D05661" w:rsidRPr="00726BD5" w:rsidRDefault="00D05661" w:rsidP="00D05661">
      <w:pPr>
        <w:pStyle w:val="Texto"/>
        <w:spacing w:after="0" w:line="203" w:lineRule="exact"/>
        <w:ind w:firstLine="0"/>
        <w:rPr>
          <w:rFonts w:ascii="Montserrat" w:hAnsi="Montserrat"/>
          <w:b/>
          <w:sz w:val="24"/>
          <w:szCs w:val="24"/>
          <w:lang w:val="es-MX"/>
        </w:rPr>
      </w:pPr>
      <w:r w:rsidRPr="00726BD5">
        <w:rPr>
          <w:rFonts w:ascii="Montserrat" w:hAnsi="Montserrat"/>
          <w:b/>
          <w:sz w:val="24"/>
          <w:szCs w:val="24"/>
          <w:lang w:val="es-MX"/>
        </w:rPr>
        <w:t>Activo</w:t>
      </w:r>
    </w:p>
    <w:p w14:paraId="3DB7AA89" w14:textId="77777777" w:rsidR="00D05661" w:rsidRPr="00726BD5" w:rsidRDefault="00D05661" w:rsidP="00D05661">
      <w:pPr>
        <w:rPr>
          <w:rFonts w:ascii="Montserrat" w:hAnsi="Montserrat"/>
          <w:b/>
        </w:rPr>
      </w:pPr>
    </w:p>
    <w:p w14:paraId="4A1625EF" w14:textId="77777777" w:rsidR="00D05661" w:rsidRPr="00726BD5" w:rsidRDefault="00D05661" w:rsidP="00D05661">
      <w:pPr>
        <w:jc w:val="both"/>
        <w:rPr>
          <w:rFonts w:ascii="Montserrat" w:hAnsi="Montserrat"/>
        </w:rPr>
      </w:pPr>
      <w:r w:rsidRPr="00726BD5">
        <w:rPr>
          <w:rFonts w:ascii="Montserrat" w:hAnsi="Montserrat"/>
        </w:rPr>
        <w:t>El activo se compone de los fondos, valores, derechos y bienes cuantificados en términos monetarios, los cuales controla y dispone el Poder Ejecutivo para la prestación de servicios públicos, este se integra como sigue:</w:t>
      </w:r>
    </w:p>
    <w:p w14:paraId="4EBA10CC" w14:textId="0855CBED" w:rsidR="00C33ACA" w:rsidRDefault="00C33ACA">
      <w:pPr>
        <w:rPr>
          <w:rFonts w:ascii="Montserrat" w:hAnsi="Montserrat"/>
          <w:b/>
        </w:rPr>
      </w:pPr>
      <w:r>
        <w:rPr>
          <w:rFonts w:ascii="Montserrat" w:hAnsi="Montserrat"/>
          <w:b/>
        </w:rPr>
        <w:br w:type="page"/>
      </w:r>
    </w:p>
    <w:p w14:paraId="011BD37A" w14:textId="77777777" w:rsidR="005D0CB2" w:rsidRPr="00726BD5" w:rsidRDefault="005D0CB2" w:rsidP="00D05661">
      <w:pPr>
        <w:rPr>
          <w:rFonts w:ascii="Montserrat" w:hAnsi="Montserrat"/>
          <w:b/>
        </w:rPr>
      </w:pPr>
    </w:p>
    <w:p w14:paraId="53234D2E" w14:textId="74F549C4" w:rsidR="00D05661" w:rsidRPr="00726BD5" w:rsidRDefault="00D05661" w:rsidP="00D05661">
      <w:pPr>
        <w:rPr>
          <w:rFonts w:ascii="Montserrat" w:hAnsi="Montserrat"/>
          <w:b/>
        </w:rPr>
      </w:pPr>
      <w:r w:rsidRPr="00726BD5">
        <w:rPr>
          <w:rFonts w:ascii="Montserrat" w:hAnsi="Montserrat"/>
          <w:b/>
        </w:rPr>
        <w:t>Nota 4.- Efectivo y Equivalentes.</w:t>
      </w:r>
    </w:p>
    <w:bookmarkEnd w:id="11"/>
    <w:p w14:paraId="0C54CD35" w14:textId="77777777" w:rsidR="00D05661" w:rsidRPr="00726BD5" w:rsidRDefault="00D05661" w:rsidP="00D05661">
      <w:pPr>
        <w:jc w:val="both"/>
        <w:rPr>
          <w:rFonts w:ascii="Montserrat" w:hAnsi="Montserrat"/>
          <w:b/>
          <w:u w:val="single"/>
        </w:rPr>
      </w:pPr>
    </w:p>
    <w:p w14:paraId="2C512885" w14:textId="77777777" w:rsidR="00D05661" w:rsidRPr="00726BD5" w:rsidRDefault="00D05661" w:rsidP="00D05661">
      <w:pPr>
        <w:jc w:val="both"/>
        <w:rPr>
          <w:rFonts w:ascii="Montserrat" w:hAnsi="Montserrat"/>
        </w:rPr>
      </w:pPr>
      <w:r w:rsidRPr="00726BD5">
        <w:rPr>
          <w:rFonts w:ascii="Montserrat" w:hAnsi="Montserrat"/>
        </w:rPr>
        <w:t>Este rubro representa la disponibilidad que tiene el Poder Ejecutivo para realizar pagos a corto plazo a prestadores de bienes y servicios, y por retenciones de Impuestos a enterar a los Servicios de Administración Tributaria (SAT) de la Secretaría de Hacienda y Crédito Público por concepto de honorarios y sueldos y salarios.</w:t>
      </w:r>
    </w:p>
    <w:p w14:paraId="408C4DFC" w14:textId="77777777" w:rsidR="00D05661" w:rsidRPr="00726BD5" w:rsidRDefault="00D05661" w:rsidP="00D05661">
      <w:pPr>
        <w:jc w:val="both"/>
        <w:rPr>
          <w:rFonts w:ascii="Montserrat" w:hAnsi="Montserrat"/>
        </w:rPr>
      </w:pPr>
    </w:p>
    <w:p w14:paraId="619883F4" w14:textId="77777777" w:rsidR="00D05661" w:rsidRPr="00726BD5" w:rsidRDefault="00D05661" w:rsidP="00D05661">
      <w:pPr>
        <w:jc w:val="both"/>
        <w:rPr>
          <w:rFonts w:ascii="Montserrat" w:hAnsi="Montserrat"/>
        </w:rPr>
      </w:pPr>
      <w:r w:rsidRPr="00726BD5">
        <w:rPr>
          <w:rFonts w:ascii="Montserrat" w:hAnsi="Montserrat"/>
        </w:rPr>
        <w:t>Esta disponibilidad al cierre del periodo enero-junio 2025, se encuentra integrada de la siguiente manera:</w:t>
      </w:r>
    </w:p>
    <w:p w14:paraId="330B0574" w14:textId="77777777" w:rsidR="00D05661" w:rsidRPr="00726BD5" w:rsidRDefault="00D05661" w:rsidP="00D05661">
      <w:pPr>
        <w:jc w:val="center"/>
        <w:rPr>
          <w:rFonts w:ascii="Montserrat" w:hAnsi="Montserrat"/>
          <w:b/>
        </w:rPr>
      </w:pPr>
    </w:p>
    <w:p w14:paraId="48DCF680" w14:textId="77777777" w:rsidR="00D05661" w:rsidRPr="00726BD5" w:rsidRDefault="00D05661" w:rsidP="00D05661">
      <w:pPr>
        <w:jc w:val="center"/>
        <w:rPr>
          <w:rFonts w:ascii="Montserrat" w:hAnsi="Montserrat"/>
          <w:b/>
        </w:rPr>
      </w:pPr>
      <w:r w:rsidRPr="00726BD5">
        <w:rPr>
          <w:rFonts w:ascii="Montserrat" w:hAnsi="Montserrat"/>
          <w:b/>
        </w:rPr>
        <w:t>(Pesos)</w:t>
      </w:r>
    </w:p>
    <w:tbl>
      <w:tblPr>
        <w:tblW w:w="900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22"/>
        <w:gridCol w:w="2252"/>
        <w:gridCol w:w="2235"/>
      </w:tblGrid>
      <w:tr w:rsidR="00D05661" w:rsidRPr="00726BD5" w14:paraId="6D6881EA" w14:textId="77777777" w:rsidTr="00C33ACA">
        <w:trPr>
          <w:trHeight w:val="312"/>
        </w:trPr>
        <w:tc>
          <w:tcPr>
            <w:tcW w:w="4522" w:type="dxa"/>
            <w:shd w:val="clear" w:color="auto" w:fill="D9D9D9" w:themeFill="background1" w:themeFillShade="D9"/>
            <w:vAlign w:val="center"/>
            <w:hideMark/>
          </w:tcPr>
          <w:p w14:paraId="5FE971A7"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52" w:type="dxa"/>
            <w:shd w:val="clear" w:color="auto" w:fill="D9D9D9" w:themeFill="background1" w:themeFillShade="D9"/>
            <w:vAlign w:val="center"/>
            <w:hideMark/>
          </w:tcPr>
          <w:p w14:paraId="19B9F5C0"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35" w:type="dxa"/>
            <w:shd w:val="clear" w:color="auto" w:fill="D9D9D9" w:themeFill="background1" w:themeFillShade="D9"/>
            <w:vAlign w:val="center"/>
            <w:hideMark/>
          </w:tcPr>
          <w:p w14:paraId="0E1597AD"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D05661" w:rsidRPr="00726BD5" w14:paraId="7BF63EB6" w14:textId="77777777" w:rsidTr="00C33ACA">
        <w:trPr>
          <w:trHeight w:val="283"/>
        </w:trPr>
        <w:tc>
          <w:tcPr>
            <w:tcW w:w="4522" w:type="dxa"/>
            <w:shd w:val="clear" w:color="000000" w:fill="FFFFFF"/>
            <w:vAlign w:val="center"/>
            <w:hideMark/>
          </w:tcPr>
          <w:p w14:paraId="5D4CE571"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Efectivo</w:t>
            </w:r>
          </w:p>
        </w:tc>
        <w:tc>
          <w:tcPr>
            <w:tcW w:w="2252" w:type="dxa"/>
            <w:shd w:val="clear" w:color="000000" w:fill="FFFFFF"/>
            <w:vAlign w:val="center"/>
            <w:hideMark/>
          </w:tcPr>
          <w:p w14:paraId="6A0B0E91"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597,823</w:t>
            </w:r>
          </w:p>
        </w:tc>
        <w:tc>
          <w:tcPr>
            <w:tcW w:w="2235" w:type="dxa"/>
            <w:shd w:val="clear" w:color="000000" w:fill="FFFFFF"/>
            <w:vAlign w:val="center"/>
            <w:hideMark/>
          </w:tcPr>
          <w:p w14:paraId="453ACDCE"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570,671</w:t>
            </w:r>
          </w:p>
        </w:tc>
      </w:tr>
      <w:tr w:rsidR="00D05661" w:rsidRPr="00726BD5" w14:paraId="27C1DA25" w14:textId="77777777" w:rsidTr="00C33ACA">
        <w:trPr>
          <w:trHeight w:val="283"/>
        </w:trPr>
        <w:tc>
          <w:tcPr>
            <w:tcW w:w="4522" w:type="dxa"/>
            <w:shd w:val="clear" w:color="000000" w:fill="FFFFFF"/>
            <w:vAlign w:val="center"/>
            <w:hideMark/>
          </w:tcPr>
          <w:p w14:paraId="30D0B505"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Bancos/Tesorería</w:t>
            </w:r>
          </w:p>
        </w:tc>
        <w:tc>
          <w:tcPr>
            <w:tcW w:w="2252" w:type="dxa"/>
            <w:shd w:val="clear" w:color="000000" w:fill="FFFFFF"/>
            <w:vAlign w:val="center"/>
            <w:hideMark/>
          </w:tcPr>
          <w:p w14:paraId="51BD3FAE"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4,623,780,983</w:t>
            </w:r>
          </w:p>
        </w:tc>
        <w:tc>
          <w:tcPr>
            <w:tcW w:w="2235" w:type="dxa"/>
            <w:shd w:val="clear" w:color="000000" w:fill="FFFFFF"/>
            <w:vAlign w:val="center"/>
            <w:hideMark/>
          </w:tcPr>
          <w:p w14:paraId="6440DF42"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3,443,956,514</w:t>
            </w:r>
          </w:p>
        </w:tc>
      </w:tr>
      <w:tr w:rsidR="00D05661" w:rsidRPr="00726BD5" w14:paraId="65132B0C" w14:textId="77777777" w:rsidTr="00C33ACA">
        <w:trPr>
          <w:trHeight w:val="283"/>
        </w:trPr>
        <w:tc>
          <w:tcPr>
            <w:tcW w:w="4522" w:type="dxa"/>
            <w:shd w:val="clear" w:color="000000" w:fill="FFFFFF"/>
            <w:vAlign w:val="center"/>
            <w:hideMark/>
          </w:tcPr>
          <w:p w14:paraId="52DA77E2"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Bancos/Dependencias Y Otros</w:t>
            </w:r>
          </w:p>
        </w:tc>
        <w:tc>
          <w:tcPr>
            <w:tcW w:w="2252" w:type="dxa"/>
            <w:shd w:val="clear" w:color="000000" w:fill="FFFFFF"/>
            <w:vAlign w:val="center"/>
            <w:hideMark/>
          </w:tcPr>
          <w:p w14:paraId="22360D05"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551,971,819</w:t>
            </w:r>
          </w:p>
        </w:tc>
        <w:tc>
          <w:tcPr>
            <w:tcW w:w="2235" w:type="dxa"/>
            <w:shd w:val="clear" w:color="000000" w:fill="FFFFFF"/>
            <w:vAlign w:val="center"/>
            <w:hideMark/>
          </w:tcPr>
          <w:p w14:paraId="0E9E2C38"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659,905,547</w:t>
            </w:r>
          </w:p>
        </w:tc>
      </w:tr>
      <w:tr w:rsidR="00D05661" w:rsidRPr="00726BD5" w14:paraId="6BE5C788" w14:textId="77777777" w:rsidTr="00C33ACA">
        <w:trPr>
          <w:trHeight w:val="298"/>
        </w:trPr>
        <w:tc>
          <w:tcPr>
            <w:tcW w:w="4522" w:type="dxa"/>
            <w:shd w:val="clear" w:color="000000" w:fill="FFFFFF"/>
            <w:vAlign w:val="center"/>
            <w:hideMark/>
          </w:tcPr>
          <w:p w14:paraId="2B6748DF"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Inversiones Temporales (Hasta 3 Meses)</w:t>
            </w:r>
          </w:p>
        </w:tc>
        <w:tc>
          <w:tcPr>
            <w:tcW w:w="2252" w:type="dxa"/>
            <w:shd w:val="clear" w:color="000000" w:fill="FFFFFF"/>
            <w:vAlign w:val="center"/>
            <w:hideMark/>
          </w:tcPr>
          <w:p w14:paraId="346360DD"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9,615,348,335</w:t>
            </w:r>
          </w:p>
        </w:tc>
        <w:tc>
          <w:tcPr>
            <w:tcW w:w="2235" w:type="dxa"/>
            <w:shd w:val="clear" w:color="000000" w:fill="FFFFFF"/>
            <w:vAlign w:val="center"/>
            <w:hideMark/>
          </w:tcPr>
          <w:p w14:paraId="6387CD8F"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9,755,474,968</w:t>
            </w:r>
          </w:p>
        </w:tc>
      </w:tr>
      <w:tr w:rsidR="00D05661" w:rsidRPr="00726BD5" w14:paraId="6A43B0D2" w14:textId="77777777" w:rsidTr="00C33ACA">
        <w:trPr>
          <w:trHeight w:val="312"/>
        </w:trPr>
        <w:tc>
          <w:tcPr>
            <w:tcW w:w="4522" w:type="dxa"/>
            <w:shd w:val="clear" w:color="000000" w:fill="FFFFFF"/>
            <w:vAlign w:val="center"/>
            <w:hideMark/>
          </w:tcPr>
          <w:p w14:paraId="69248B6A" w14:textId="56F4671A" w:rsidR="00D05661" w:rsidRPr="00C33ACA" w:rsidRDefault="00C33ACA" w:rsidP="00C33ACA">
            <w:pPr>
              <w:rPr>
                <w:rFonts w:ascii="Montserrat" w:eastAsia="Times New Roman" w:hAnsi="Montserrat" w:cs="Arial"/>
                <w:b/>
                <w:bCs/>
                <w:color w:val="000000"/>
                <w:lang w:val="es-MX"/>
              </w:rPr>
            </w:pPr>
            <w:r w:rsidRPr="00C33ACA">
              <w:rPr>
                <w:rFonts w:ascii="Montserrat" w:eastAsia="Times New Roman" w:hAnsi="Montserrat" w:cs="Arial"/>
                <w:b/>
                <w:bCs/>
                <w:color w:val="000000"/>
                <w:lang w:val="es-MX"/>
              </w:rPr>
              <w:t xml:space="preserve">Total de Efectivo y Equivalentes </w:t>
            </w:r>
          </w:p>
        </w:tc>
        <w:tc>
          <w:tcPr>
            <w:tcW w:w="2252" w:type="dxa"/>
            <w:shd w:val="clear" w:color="000000" w:fill="FFFFFF"/>
            <w:noWrap/>
            <w:vAlign w:val="center"/>
            <w:hideMark/>
          </w:tcPr>
          <w:p w14:paraId="3A0547A3"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14,791,698,960</w:t>
            </w:r>
          </w:p>
        </w:tc>
        <w:tc>
          <w:tcPr>
            <w:tcW w:w="2235" w:type="dxa"/>
            <w:shd w:val="clear" w:color="000000" w:fill="FFFFFF"/>
            <w:noWrap/>
            <w:vAlign w:val="center"/>
            <w:hideMark/>
          </w:tcPr>
          <w:p w14:paraId="779A01CB"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13,859,907,700</w:t>
            </w:r>
          </w:p>
        </w:tc>
      </w:tr>
    </w:tbl>
    <w:p w14:paraId="41E34DAB" w14:textId="77777777" w:rsidR="00D05661" w:rsidRPr="00726BD5" w:rsidRDefault="00D05661" w:rsidP="00D05661">
      <w:pPr>
        <w:jc w:val="center"/>
        <w:rPr>
          <w:rFonts w:ascii="Montserrat" w:hAnsi="Montserrat"/>
        </w:rPr>
      </w:pPr>
    </w:p>
    <w:p w14:paraId="482769BE" w14:textId="77777777" w:rsidR="00D05661" w:rsidRPr="00726BD5" w:rsidRDefault="00D05661" w:rsidP="00D05661">
      <w:pPr>
        <w:rPr>
          <w:rFonts w:ascii="Montserrat" w:hAnsi="Montserrat"/>
          <w:b/>
        </w:rPr>
      </w:pPr>
      <w:bookmarkStart w:id="12" w:name="_Hlk157388789"/>
    </w:p>
    <w:p w14:paraId="63CD0F1C" w14:textId="77777777" w:rsidR="005D0CB2" w:rsidRPr="00726BD5" w:rsidRDefault="005D0CB2" w:rsidP="00D05661">
      <w:pPr>
        <w:rPr>
          <w:rFonts w:ascii="Montserrat" w:hAnsi="Montserrat"/>
          <w:b/>
        </w:rPr>
      </w:pPr>
    </w:p>
    <w:p w14:paraId="2B1088F3" w14:textId="238C98C2" w:rsidR="00D05661" w:rsidRPr="00726BD5" w:rsidRDefault="00D05661" w:rsidP="00D05661">
      <w:pPr>
        <w:rPr>
          <w:rFonts w:ascii="Montserrat" w:hAnsi="Montserrat"/>
          <w:b/>
        </w:rPr>
      </w:pPr>
      <w:r w:rsidRPr="00726BD5">
        <w:rPr>
          <w:rFonts w:ascii="Montserrat" w:hAnsi="Montserrat"/>
          <w:b/>
        </w:rPr>
        <w:t>Nota 5.- Derechos a recibir Efectivo y Equivalentes y Bienes o Servicios</w:t>
      </w:r>
    </w:p>
    <w:p w14:paraId="34628D79" w14:textId="77777777" w:rsidR="00D05661" w:rsidRPr="00726BD5" w:rsidRDefault="00D05661" w:rsidP="00D05661">
      <w:pPr>
        <w:jc w:val="both"/>
        <w:rPr>
          <w:rFonts w:ascii="Montserrat" w:hAnsi="Montserrat"/>
          <w:b/>
        </w:rPr>
      </w:pPr>
    </w:p>
    <w:p w14:paraId="43DA2177" w14:textId="77777777" w:rsidR="00D05661" w:rsidRPr="00726BD5" w:rsidRDefault="00D05661" w:rsidP="00D05661">
      <w:pPr>
        <w:jc w:val="both"/>
        <w:rPr>
          <w:rFonts w:ascii="Montserrat" w:hAnsi="Montserrat"/>
          <w:b/>
        </w:rPr>
      </w:pPr>
      <w:r w:rsidRPr="00726BD5">
        <w:rPr>
          <w:rFonts w:ascii="Montserrat" w:hAnsi="Montserrat"/>
          <w:b/>
        </w:rPr>
        <w:t>Derechos a Recibir Efectivo o Equivalentes</w:t>
      </w:r>
    </w:p>
    <w:bookmarkEnd w:id="12"/>
    <w:p w14:paraId="2242A926" w14:textId="77777777" w:rsidR="00D05661" w:rsidRPr="00726BD5" w:rsidRDefault="00D05661" w:rsidP="00D05661">
      <w:pPr>
        <w:jc w:val="both"/>
        <w:rPr>
          <w:rFonts w:ascii="Montserrat" w:hAnsi="Montserrat"/>
          <w:b/>
        </w:rPr>
      </w:pPr>
    </w:p>
    <w:p w14:paraId="725FE540" w14:textId="77777777" w:rsidR="00D05661" w:rsidRPr="00726BD5" w:rsidRDefault="00D05661" w:rsidP="00D05661">
      <w:pPr>
        <w:jc w:val="both"/>
        <w:rPr>
          <w:rFonts w:ascii="Montserrat" w:hAnsi="Montserrat"/>
        </w:rPr>
      </w:pPr>
      <w:r w:rsidRPr="00726BD5">
        <w:rPr>
          <w:rFonts w:ascii="Montserrat" w:hAnsi="Montserrat"/>
        </w:rPr>
        <w:t>Este rubro del Poder Ejecutivo se integra del saldo de Cuentas por Cobrar y Deudores Diversos a Corto plazo, por Derechos a Recibir Efectivo y Equivalentes que tienen los entes públicos que lo conforman y los cuales al cierre del periodo enero-junio de 2025 y 2024 se encuentran integrados de:</w:t>
      </w:r>
    </w:p>
    <w:p w14:paraId="63EACF45" w14:textId="77777777" w:rsidR="00D05661" w:rsidRPr="00726BD5" w:rsidRDefault="00D05661" w:rsidP="00D05661">
      <w:pPr>
        <w:keepNext/>
        <w:pBdr>
          <w:top w:val="nil"/>
          <w:left w:val="nil"/>
          <w:bottom w:val="nil"/>
          <w:right w:val="nil"/>
          <w:between w:val="nil"/>
        </w:pBdr>
        <w:jc w:val="center"/>
        <w:rPr>
          <w:rFonts w:ascii="Montserrat" w:hAnsi="Montserrat"/>
          <w:b/>
        </w:rPr>
      </w:pPr>
    </w:p>
    <w:p w14:paraId="421E7032" w14:textId="77777777" w:rsidR="00D05661" w:rsidRPr="00726BD5" w:rsidRDefault="00D05661" w:rsidP="00D05661">
      <w:pPr>
        <w:keepNext/>
        <w:pBdr>
          <w:top w:val="nil"/>
          <w:left w:val="nil"/>
          <w:bottom w:val="nil"/>
          <w:right w:val="nil"/>
          <w:between w:val="nil"/>
        </w:pBdr>
        <w:jc w:val="center"/>
        <w:rPr>
          <w:rFonts w:ascii="Montserrat" w:hAnsi="Montserrat"/>
          <w:b/>
        </w:rPr>
      </w:pPr>
      <w:r w:rsidRPr="00726BD5">
        <w:rPr>
          <w:rFonts w:ascii="Montserrat" w:hAnsi="Montserrat"/>
          <w:b/>
        </w:rPr>
        <w:t>(Pesos)</w:t>
      </w:r>
    </w:p>
    <w:tbl>
      <w:tblPr>
        <w:tblW w:w="8933"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84"/>
        <w:gridCol w:w="2233"/>
        <w:gridCol w:w="2216"/>
      </w:tblGrid>
      <w:tr w:rsidR="00D05661" w:rsidRPr="00726BD5" w14:paraId="45602F9F" w14:textId="77777777" w:rsidTr="00C33ACA">
        <w:trPr>
          <w:trHeight w:val="318"/>
          <w:tblHeader/>
        </w:trPr>
        <w:tc>
          <w:tcPr>
            <w:tcW w:w="4484" w:type="dxa"/>
            <w:shd w:val="clear" w:color="auto" w:fill="D9D9D9" w:themeFill="background1" w:themeFillShade="D9"/>
            <w:vAlign w:val="center"/>
            <w:hideMark/>
          </w:tcPr>
          <w:p w14:paraId="24C2F7BF"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33" w:type="dxa"/>
            <w:shd w:val="clear" w:color="auto" w:fill="D9D9D9" w:themeFill="background1" w:themeFillShade="D9"/>
            <w:vAlign w:val="center"/>
            <w:hideMark/>
          </w:tcPr>
          <w:p w14:paraId="66A71C19"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16" w:type="dxa"/>
            <w:shd w:val="clear" w:color="auto" w:fill="D9D9D9" w:themeFill="background1" w:themeFillShade="D9"/>
            <w:vAlign w:val="center"/>
            <w:hideMark/>
          </w:tcPr>
          <w:p w14:paraId="33EDD063"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D05661" w:rsidRPr="00726BD5" w14:paraId="169E902D" w14:textId="77777777" w:rsidTr="00C33ACA">
        <w:trPr>
          <w:trHeight w:val="288"/>
        </w:trPr>
        <w:tc>
          <w:tcPr>
            <w:tcW w:w="4484" w:type="dxa"/>
            <w:shd w:val="clear" w:color="auto" w:fill="auto"/>
            <w:vAlign w:val="center"/>
            <w:hideMark/>
          </w:tcPr>
          <w:p w14:paraId="160FAF72"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Cuentas Por Cobrar A Corto Plazo</w:t>
            </w:r>
          </w:p>
        </w:tc>
        <w:tc>
          <w:tcPr>
            <w:tcW w:w="2233" w:type="dxa"/>
            <w:shd w:val="clear" w:color="000000" w:fill="FFFFFF"/>
            <w:vAlign w:val="center"/>
            <w:hideMark/>
          </w:tcPr>
          <w:p w14:paraId="72CA633B"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47,502,487</w:t>
            </w:r>
          </w:p>
        </w:tc>
        <w:tc>
          <w:tcPr>
            <w:tcW w:w="2216" w:type="dxa"/>
            <w:shd w:val="clear" w:color="000000" w:fill="FFFFFF"/>
            <w:vAlign w:val="center"/>
            <w:hideMark/>
          </w:tcPr>
          <w:p w14:paraId="594DBED3"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359,533,226</w:t>
            </w:r>
          </w:p>
        </w:tc>
      </w:tr>
      <w:tr w:rsidR="00D05661" w:rsidRPr="00726BD5" w14:paraId="57A4D0A6" w14:textId="77777777" w:rsidTr="00C33ACA">
        <w:trPr>
          <w:trHeight w:val="288"/>
        </w:trPr>
        <w:tc>
          <w:tcPr>
            <w:tcW w:w="4484" w:type="dxa"/>
            <w:shd w:val="clear" w:color="auto" w:fill="auto"/>
            <w:vAlign w:val="center"/>
            <w:hideMark/>
          </w:tcPr>
          <w:p w14:paraId="5C0DDAEC"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Deudores Diversos Por Cobrar A Corto Plazo</w:t>
            </w:r>
          </w:p>
        </w:tc>
        <w:tc>
          <w:tcPr>
            <w:tcW w:w="2233" w:type="dxa"/>
            <w:shd w:val="clear" w:color="000000" w:fill="FFFFFF"/>
            <w:vAlign w:val="center"/>
            <w:hideMark/>
          </w:tcPr>
          <w:p w14:paraId="1A948201"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1,050,435,482</w:t>
            </w:r>
          </w:p>
        </w:tc>
        <w:tc>
          <w:tcPr>
            <w:tcW w:w="2216" w:type="dxa"/>
            <w:shd w:val="clear" w:color="000000" w:fill="FFFFFF"/>
            <w:vAlign w:val="center"/>
            <w:hideMark/>
          </w:tcPr>
          <w:p w14:paraId="4E4C13EA"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932,447,463</w:t>
            </w:r>
          </w:p>
        </w:tc>
      </w:tr>
      <w:tr w:rsidR="00D05661" w:rsidRPr="00726BD5" w14:paraId="13E479F5" w14:textId="77777777" w:rsidTr="00C33ACA">
        <w:trPr>
          <w:trHeight w:val="288"/>
        </w:trPr>
        <w:tc>
          <w:tcPr>
            <w:tcW w:w="4484" w:type="dxa"/>
            <w:shd w:val="clear" w:color="000000" w:fill="FFFFFF"/>
            <w:vAlign w:val="center"/>
            <w:hideMark/>
          </w:tcPr>
          <w:p w14:paraId="68E54592"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Ingresos Por Recuperar A Corto Plazo</w:t>
            </w:r>
          </w:p>
        </w:tc>
        <w:tc>
          <w:tcPr>
            <w:tcW w:w="2233" w:type="dxa"/>
            <w:shd w:val="clear" w:color="000000" w:fill="FFFFFF"/>
            <w:vAlign w:val="center"/>
            <w:hideMark/>
          </w:tcPr>
          <w:p w14:paraId="3EAAE701"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2,841,970,890</w:t>
            </w:r>
          </w:p>
        </w:tc>
        <w:tc>
          <w:tcPr>
            <w:tcW w:w="2216" w:type="dxa"/>
            <w:shd w:val="clear" w:color="000000" w:fill="FFFFFF"/>
            <w:vAlign w:val="center"/>
            <w:hideMark/>
          </w:tcPr>
          <w:p w14:paraId="3D6CD998"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2,738,401,302</w:t>
            </w:r>
          </w:p>
        </w:tc>
      </w:tr>
      <w:tr w:rsidR="00D05661" w:rsidRPr="00726BD5" w14:paraId="53647921" w14:textId="77777777" w:rsidTr="00C33ACA">
        <w:trPr>
          <w:trHeight w:val="288"/>
        </w:trPr>
        <w:tc>
          <w:tcPr>
            <w:tcW w:w="4484" w:type="dxa"/>
            <w:shd w:val="clear" w:color="000000" w:fill="FFFFFF"/>
            <w:vAlign w:val="center"/>
            <w:hideMark/>
          </w:tcPr>
          <w:p w14:paraId="3F276866"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lastRenderedPageBreak/>
              <w:t>Deudores Por Anticipos De La Tesorería A Corto Plazo</w:t>
            </w:r>
          </w:p>
        </w:tc>
        <w:tc>
          <w:tcPr>
            <w:tcW w:w="2233" w:type="dxa"/>
            <w:shd w:val="clear" w:color="000000" w:fill="FFFFFF"/>
            <w:vAlign w:val="center"/>
            <w:hideMark/>
          </w:tcPr>
          <w:p w14:paraId="65DCD3F7"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415,244,091</w:t>
            </w:r>
          </w:p>
        </w:tc>
        <w:tc>
          <w:tcPr>
            <w:tcW w:w="2216" w:type="dxa"/>
            <w:shd w:val="clear" w:color="000000" w:fill="FFFFFF"/>
            <w:vAlign w:val="center"/>
            <w:hideMark/>
          </w:tcPr>
          <w:p w14:paraId="63BC8C6F"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357,956,795</w:t>
            </w:r>
          </w:p>
        </w:tc>
      </w:tr>
      <w:tr w:rsidR="00D05661" w:rsidRPr="00726BD5" w14:paraId="036B5959" w14:textId="77777777" w:rsidTr="00C33ACA">
        <w:trPr>
          <w:trHeight w:val="288"/>
        </w:trPr>
        <w:tc>
          <w:tcPr>
            <w:tcW w:w="4484" w:type="dxa"/>
            <w:shd w:val="clear" w:color="000000" w:fill="FFFFFF"/>
            <w:vAlign w:val="center"/>
            <w:hideMark/>
          </w:tcPr>
          <w:p w14:paraId="5087DC07"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Préstamos Otorgados A Corto Plazo</w:t>
            </w:r>
          </w:p>
        </w:tc>
        <w:tc>
          <w:tcPr>
            <w:tcW w:w="2233" w:type="dxa"/>
            <w:shd w:val="clear" w:color="000000" w:fill="FFFFFF"/>
            <w:vAlign w:val="center"/>
            <w:hideMark/>
          </w:tcPr>
          <w:p w14:paraId="0710C7BF"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409,841,605</w:t>
            </w:r>
          </w:p>
        </w:tc>
        <w:tc>
          <w:tcPr>
            <w:tcW w:w="2216" w:type="dxa"/>
            <w:shd w:val="clear" w:color="000000" w:fill="FFFFFF"/>
            <w:vAlign w:val="center"/>
            <w:hideMark/>
          </w:tcPr>
          <w:p w14:paraId="29CB9DA4"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363,502,842</w:t>
            </w:r>
          </w:p>
        </w:tc>
      </w:tr>
      <w:tr w:rsidR="00D05661" w:rsidRPr="00726BD5" w14:paraId="26CE9DE3" w14:textId="77777777" w:rsidTr="00C33ACA">
        <w:trPr>
          <w:trHeight w:val="591"/>
        </w:trPr>
        <w:tc>
          <w:tcPr>
            <w:tcW w:w="4484" w:type="dxa"/>
            <w:shd w:val="clear" w:color="000000" w:fill="FFFFFF"/>
            <w:vAlign w:val="center"/>
            <w:hideMark/>
          </w:tcPr>
          <w:p w14:paraId="484F6AB9"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 xml:space="preserve">Otros Derechos A Recibir Efectivo O Equivalentes </w:t>
            </w:r>
            <w:proofErr w:type="gramStart"/>
            <w:r w:rsidRPr="00726BD5">
              <w:rPr>
                <w:rFonts w:ascii="Montserrat" w:eastAsia="Times New Roman" w:hAnsi="Montserrat" w:cs="Arial"/>
                <w:color w:val="000000"/>
                <w:lang w:val="es-MX"/>
              </w:rPr>
              <w:t>A  CP</w:t>
            </w:r>
            <w:proofErr w:type="gramEnd"/>
            <w:r w:rsidRPr="00726BD5">
              <w:rPr>
                <w:rFonts w:ascii="Montserrat" w:eastAsia="Times New Roman" w:hAnsi="Montserrat" w:cs="Arial"/>
                <w:color w:val="000000"/>
                <w:lang w:val="es-MX"/>
              </w:rPr>
              <w:t xml:space="preserve">         </w:t>
            </w:r>
          </w:p>
        </w:tc>
        <w:tc>
          <w:tcPr>
            <w:tcW w:w="2233" w:type="dxa"/>
            <w:shd w:val="clear" w:color="000000" w:fill="FFFFFF"/>
            <w:vAlign w:val="center"/>
            <w:hideMark/>
          </w:tcPr>
          <w:p w14:paraId="29BE084F"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3,731,508,189</w:t>
            </w:r>
          </w:p>
        </w:tc>
        <w:tc>
          <w:tcPr>
            <w:tcW w:w="2216" w:type="dxa"/>
            <w:shd w:val="clear" w:color="000000" w:fill="FFFFFF"/>
            <w:vAlign w:val="center"/>
            <w:hideMark/>
          </w:tcPr>
          <w:p w14:paraId="7A519503"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3,544,359,424</w:t>
            </w:r>
          </w:p>
        </w:tc>
      </w:tr>
      <w:tr w:rsidR="00D05661" w:rsidRPr="00726BD5" w14:paraId="773D8C5C" w14:textId="77777777" w:rsidTr="00C33ACA">
        <w:trPr>
          <w:trHeight w:val="318"/>
        </w:trPr>
        <w:tc>
          <w:tcPr>
            <w:tcW w:w="4484" w:type="dxa"/>
            <w:shd w:val="clear" w:color="000000" w:fill="FFFFFF"/>
            <w:noWrap/>
            <w:vAlign w:val="center"/>
            <w:hideMark/>
          </w:tcPr>
          <w:p w14:paraId="5F8BC270" w14:textId="1F0F2989" w:rsidR="00D05661" w:rsidRPr="00C33ACA" w:rsidRDefault="00C33ACA" w:rsidP="00C33ACA">
            <w:pPr>
              <w:jc w:val="both"/>
              <w:rPr>
                <w:rFonts w:ascii="Montserrat" w:hAnsi="Montserrat"/>
                <w:b/>
              </w:rPr>
            </w:pPr>
            <w:r>
              <w:rPr>
                <w:rFonts w:ascii="Montserrat" w:eastAsia="Times New Roman" w:hAnsi="Montserrat" w:cs="Arial"/>
                <w:b/>
                <w:bCs/>
                <w:color w:val="000000"/>
                <w:lang w:val="es-MX"/>
              </w:rPr>
              <w:t xml:space="preserve">Total </w:t>
            </w:r>
            <w:r w:rsidRPr="00726BD5">
              <w:rPr>
                <w:rFonts w:ascii="Montserrat" w:hAnsi="Montserrat"/>
                <w:b/>
              </w:rPr>
              <w:t>Derechos a Recibir Efectivo o Equivalentes</w:t>
            </w:r>
          </w:p>
        </w:tc>
        <w:tc>
          <w:tcPr>
            <w:tcW w:w="2233" w:type="dxa"/>
            <w:shd w:val="clear" w:color="000000" w:fill="FFFFFF"/>
            <w:noWrap/>
            <w:vAlign w:val="center"/>
            <w:hideMark/>
          </w:tcPr>
          <w:p w14:paraId="0FAF2CA4"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8,496,502,744</w:t>
            </w:r>
          </w:p>
        </w:tc>
        <w:tc>
          <w:tcPr>
            <w:tcW w:w="2216" w:type="dxa"/>
            <w:shd w:val="clear" w:color="000000" w:fill="FFFFFF"/>
            <w:noWrap/>
            <w:vAlign w:val="center"/>
            <w:hideMark/>
          </w:tcPr>
          <w:p w14:paraId="4E503CE9"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8,296,201,052</w:t>
            </w:r>
          </w:p>
        </w:tc>
      </w:tr>
    </w:tbl>
    <w:p w14:paraId="0F3E9DD6" w14:textId="77777777" w:rsidR="00D05661" w:rsidRPr="00726BD5" w:rsidRDefault="00D05661" w:rsidP="00D05661">
      <w:pPr>
        <w:jc w:val="both"/>
        <w:rPr>
          <w:rFonts w:ascii="Montserrat" w:hAnsi="Montserrat"/>
          <w:b/>
        </w:rPr>
      </w:pPr>
    </w:p>
    <w:p w14:paraId="7039CA52" w14:textId="77777777" w:rsidR="00D05661" w:rsidRPr="00726BD5" w:rsidRDefault="00D05661" w:rsidP="00D05661">
      <w:pPr>
        <w:rPr>
          <w:rFonts w:ascii="Montserrat" w:hAnsi="Montserrat"/>
        </w:rPr>
      </w:pPr>
    </w:p>
    <w:p w14:paraId="1D1777F8" w14:textId="77777777" w:rsidR="00D05661" w:rsidRPr="00726BD5" w:rsidRDefault="00D05661" w:rsidP="00D05661">
      <w:pPr>
        <w:jc w:val="both"/>
        <w:rPr>
          <w:rFonts w:ascii="Montserrat" w:hAnsi="Montserrat"/>
          <w:b/>
        </w:rPr>
      </w:pPr>
      <w:r w:rsidRPr="00726BD5">
        <w:rPr>
          <w:rFonts w:ascii="Montserrat" w:hAnsi="Montserrat"/>
          <w:b/>
        </w:rPr>
        <w:t>Derechos a Recibir Bienes o Servicios</w:t>
      </w:r>
    </w:p>
    <w:p w14:paraId="286226E2" w14:textId="77777777" w:rsidR="00D05661" w:rsidRPr="00726BD5" w:rsidRDefault="00D05661" w:rsidP="00D05661">
      <w:pPr>
        <w:jc w:val="both"/>
        <w:rPr>
          <w:rFonts w:ascii="Montserrat" w:hAnsi="Montserrat"/>
        </w:rPr>
      </w:pPr>
    </w:p>
    <w:p w14:paraId="587A7202" w14:textId="77777777" w:rsidR="00D05661" w:rsidRPr="00726BD5" w:rsidRDefault="00D05661" w:rsidP="00D05661">
      <w:pPr>
        <w:jc w:val="both"/>
        <w:rPr>
          <w:rFonts w:ascii="Montserrat" w:hAnsi="Montserrat"/>
        </w:rPr>
      </w:pPr>
      <w:r w:rsidRPr="00726BD5">
        <w:rPr>
          <w:rFonts w:ascii="Montserrat" w:hAnsi="Montserrat"/>
        </w:rPr>
        <w:t>El rubro de Derechos a Recibir Bienes o Servicios corresponde a anticipos otorgados a proveedores y contratistas para la ejecución de obra pública en proceso que tienen los entes públicos que conforman el Poder Ejecutivo y cuyo saldo al cierre del periodo enero-junio de 2025 y 2024, se encuentra integrado de:</w:t>
      </w:r>
    </w:p>
    <w:p w14:paraId="6C74A29F" w14:textId="77777777" w:rsidR="00D05661" w:rsidRPr="00726BD5" w:rsidRDefault="00D05661" w:rsidP="00D05661">
      <w:pPr>
        <w:jc w:val="both"/>
        <w:rPr>
          <w:rFonts w:ascii="Montserrat" w:hAnsi="Montserrat"/>
        </w:rPr>
      </w:pPr>
    </w:p>
    <w:p w14:paraId="518F9D2E" w14:textId="77777777" w:rsidR="00D05661" w:rsidRPr="00726BD5" w:rsidRDefault="00D05661" w:rsidP="00D05661">
      <w:pPr>
        <w:pBdr>
          <w:top w:val="nil"/>
          <w:left w:val="nil"/>
          <w:bottom w:val="nil"/>
          <w:right w:val="nil"/>
          <w:between w:val="nil"/>
        </w:pBdr>
        <w:jc w:val="center"/>
        <w:rPr>
          <w:rFonts w:ascii="Montserrat" w:hAnsi="Montserrat"/>
          <w:b/>
        </w:rPr>
      </w:pPr>
      <w:r w:rsidRPr="00726BD5">
        <w:rPr>
          <w:rFonts w:ascii="Montserrat" w:hAnsi="Montserrat"/>
          <w:b/>
        </w:rPr>
        <w:t>(Pesos)</w:t>
      </w:r>
    </w:p>
    <w:tbl>
      <w:tblPr>
        <w:tblW w:w="8949" w:type="dxa"/>
        <w:tblInd w:w="55" w:type="dxa"/>
        <w:tblCellMar>
          <w:left w:w="70" w:type="dxa"/>
          <w:right w:w="70" w:type="dxa"/>
        </w:tblCellMar>
        <w:tblLook w:val="04A0" w:firstRow="1" w:lastRow="0" w:firstColumn="1" w:lastColumn="0" w:noHBand="0" w:noVBand="1"/>
      </w:tblPr>
      <w:tblGrid>
        <w:gridCol w:w="4492"/>
        <w:gridCol w:w="2237"/>
        <w:gridCol w:w="2220"/>
      </w:tblGrid>
      <w:tr w:rsidR="00D05661" w:rsidRPr="00726BD5" w14:paraId="1E8F93E6" w14:textId="77777777" w:rsidTr="005D0CB2">
        <w:trPr>
          <w:trHeight w:val="318"/>
        </w:trPr>
        <w:tc>
          <w:tcPr>
            <w:tcW w:w="44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D8DCB73"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3C2B72C"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2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FF9D5E6"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D05661" w:rsidRPr="00726BD5" w14:paraId="51D52EF9" w14:textId="77777777" w:rsidTr="00BE0300">
        <w:trPr>
          <w:trHeight w:val="591"/>
        </w:trPr>
        <w:tc>
          <w:tcPr>
            <w:tcW w:w="4492" w:type="dxa"/>
            <w:tcBorders>
              <w:top w:val="nil"/>
              <w:left w:val="single" w:sz="8" w:space="0" w:color="auto"/>
              <w:bottom w:val="single" w:sz="8" w:space="0" w:color="auto"/>
              <w:right w:val="single" w:sz="8" w:space="0" w:color="auto"/>
            </w:tcBorders>
            <w:shd w:val="clear" w:color="000000" w:fill="FFFFFF"/>
            <w:vAlign w:val="center"/>
            <w:hideMark/>
          </w:tcPr>
          <w:p w14:paraId="0529B301"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Anticipo a Proveedores por Adquisición de Bienes y Prestación de Servicios a Corto</w:t>
            </w:r>
          </w:p>
        </w:tc>
        <w:tc>
          <w:tcPr>
            <w:tcW w:w="2237" w:type="dxa"/>
            <w:tcBorders>
              <w:top w:val="nil"/>
              <w:left w:val="nil"/>
              <w:bottom w:val="single" w:sz="8" w:space="0" w:color="auto"/>
              <w:right w:val="single" w:sz="8" w:space="0" w:color="auto"/>
            </w:tcBorders>
            <w:shd w:val="clear" w:color="000000" w:fill="FFFFFF"/>
            <w:vAlign w:val="center"/>
            <w:hideMark/>
          </w:tcPr>
          <w:p w14:paraId="2BC4D5AD"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24,459,285</w:t>
            </w:r>
          </w:p>
        </w:tc>
        <w:tc>
          <w:tcPr>
            <w:tcW w:w="2220" w:type="dxa"/>
            <w:tcBorders>
              <w:top w:val="nil"/>
              <w:left w:val="nil"/>
              <w:bottom w:val="single" w:sz="8" w:space="0" w:color="auto"/>
              <w:right w:val="single" w:sz="8" w:space="0" w:color="auto"/>
            </w:tcBorders>
            <w:shd w:val="clear" w:color="000000" w:fill="FFFFFF"/>
            <w:vAlign w:val="center"/>
            <w:hideMark/>
          </w:tcPr>
          <w:p w14:paraId="39461D0C"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24,459,285</w:t>
            </w:r>
          </w:p>
        </w:tc>
      </w:tr>
      <w:tr w:rsidR="00D05661" w:rsidRPr="00726BD5" w14:paraId="696095F7" w14:textId="77777777" w:rsidTr="00BE0300">
        <w:trPr>
          <w:trHeight w:val="303"/>
        </w:trPr>
        <w:tc>
          <w:tcPr>
            <w:tcW w:w="4492" w:type="dxa"/>
            <w:tcBorders>
              <w:top w:val="nil"/>
              <w:left w:val="single" w:sz="8" w:space="0" w:color="auto"/>
              <w:bottom w:val="single" w:sz="8" w:space="0" w:color="auto"/>
              <w:right w:val="single" w:sz="8" w:space="0" w:color="auto"/>
            </w:tcBorders>
            <w:shd w:val="clear" w:color="000000" w:fill="FFFFFF"/>
            <w:vAlign w:val="center"/>
            <w:hideMark/>
          </w:tcPr>
          <w:p w14:paraId="7A77E995"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Anticipo a Contratistas por Obras Públicas a CP</w:t>
            </w:r>
          </w:p>
        </w:tc>
        <w:tc>
          <w:tcPr>
            <w:tcW w:w="2237" w:type="dxa"/>
            <w:tcBorders>
              <w:top w:val="nil"/>
              <w:left w:val="nil"/>
              <w:bottom w:val="single" w:sz="8" w:space="0" w:color="auto"/>
              <w:right w:val="single" w:sz="8" w:space="0" w:color="auto"/>
            </w:tcBorders>
            <w:shd w:val="clear" w:color="000000" w:fill="FFFFFF"/>
            <w:vAlign w:val="center"/>
            <w:hideMark/>
          </w:tcPr>
          <w:p w14:paraId="6549053E"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217,726,975</w:t>
            </w:r>
          </w:p>
        </w:tc>
        <w:tc>
          <w:tcPr>
            <w:tcW w:w="2220" w:type="dxa"/>
            <w:tcBorders>
              <w:top w:val="nil"/>
              <w:left w:val="nil"/>
              <w:bottom w:val="single" w:sz="8" w:space="0" w:color="auto"/>
              <w:right w:val="single" w:sz="8" w:space="0" w:color="auto"/>
            </w:tcBorders>
            <w:shd w:val="clear" w:color="000000" w:fill="FFFFFF"/>
            <w:vAlign w:val="center"/>
            <w:hideMark/>
          </w:tcPr>
          <w:p w14:paraId="3D5B0F23"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74,882,215</w:t>
            </w:r>
          </w:p>
        </w:tc>
      </w:tr>
      <w:tr w:rsidR="00D05661" w:rsidRPr="00726BD5" w14:paraId="22614FEC" w14:textId="77777777" w:rsidTr="00BE0300">
        <w:trPr>
          <w:trHeight w:val="318"/>
        </w:trPr>
        <w:tc>
          <w:tcPr>
            <w:tcW w:w="4492" w:type="dxa"/>
            <w:tcBorders>
              <w:top w:val="nil"/>
              <w:left w:val="single" w:sz="8" w:space="0" w:color="auto"/>
              <w:bottom w:val="single" w:sz="8" w:space="0" w:color="auto"/>
              <w:right w:val="single" w:sz="8" w:space="0" w:color="auto"/>
            </w:tcBorders>
            <w:shd w:val="clear" w:color="000000" w:fill="FFFFFF"/>
            <w:noWrap/>
            <w:vAlign w:val="center"/>
            <w:hideMark/>
          </w:tcPr>
          <w:p w14:paraId="39662648" w14:textId="31940B19" w:rsidR="00D05661" w:rsidRPr="00C33ACA" w:rsidRDefault="00C33ACA" w:rsidP="00C33ACA">
            <w:pPr>
              <w:jc w:val="both"/>
              <w:rPr>
                <w:rFonts w:ascii="Montserrat" w:hAnsi="Montserrat"/>
                <w:b/>
              </w:rPr>
            </w:pPr>
            <w:r>
              <w:rPr>
                <w:rFonts w:ascii="Montserrat" w:eastAsia="Times New Roman" w:hAnsi="Montserrat" w:cs="Arial"/>
                <w:b/>
                <w:bCs/>
                <w:color w:val="000000"/>
                <w:lang w:val="es-MX"/>
              </w:rPr>
              <w:t xml:space="preserve">Total </w:t>
            </w:r>
            <w:r w:rsidRPr="00726BD5">
              <w:rPr>
                <w:rFonts w:ascii="Montserrat" w:hAnsi="Montserrat"/>
                <w:b/>
              </w:rPr>
              <w:t>Derechos a Recibir Efectivo o Equivalentes</w:t>
            </w:r>
          </w:p>
        </w:tc>
        <w:tc>
          <w:tcPr>
            <w:tcW w:w="2237" w:type="dxa"/>
            <w:tcBorders>
              <w:top w:val="nil"/>
              <w:left w:val="nil"/>
              <w:bottom w:val="single" w:sz="8" w:space="0" w:color="auto"/>
              <w:right w:val="single" w:sz="8" w:space="0" w:color="auto"/>
            </w:tcBorders>
            <w:shd w:val="clear" w:color="000000" w:fill="FFFFFF"/>
            <w:noWrap/>
            <w:vAlign w:val="center"/>
            <w:hideMark/>
          </w:tcPr>
          <w:p w14:paraId="1ED7742C"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242,186,260</w:t>
            </w:r>
          </w:p>
        </w:tc>
        <w:tc>
          <w:tcPr>
            <w:tcW w:w="2220" w:type="dxa"/>
            <w:tcBorders>
              <w:top w:val="nil"/>
              <w:left w:val="nil"/>
              <w:bottom w:val="single" w:sz="8" w:space="0" w:color="auto"/>
              <w:right w:val="single" w:sz="8" w:space="0" w:color="auto"/>
            </w:tcBorders>
            <w:shd w:val="clear" w:color="000000" w:fill="FFFFFF"/>
            <w:noWrap/>
            <w:vAlign w:val="center"/>
            <w:hideMark/>
          </w:tcPr>
          <w:p w14:paraId="4A90718F"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99,341,500</w:t>
            </w:r>
          </w:p>
        </w:tc>
      </w:tr>
    </w:tbl>
    <w:p w14:paraId="0A43C377" w14:textId="77777777" w:rsidR="00D05661" w:rsidRPr="00726BD5" w:rsidRDefault="00D05661" w:rsidP="00D05661">
      <w:pPr>
        <w:jc w:val="both"/>
        <w:rPr>
          <w:rFonts w:ascii="Montserrat" w:hAnsi="Montserrat"/>
        </w:rPr>
      </w:pPr>
    </w:p>
    <w:p w14:paraId="64AE5E95" w14:textId="77777777" w:rsidR="00D05661" w:rsidRPr="00726BD5" w:rsidRDefault="00D05661" w:rsidP="00D05661">
      <w:pPr>
        <w:jc w:val="both"/>
        <w:rPr>
          <w:rFonts w:ascii="Montserrat" w:hAnsi="Montserrat"/>
        </w:rPr>
      </w:pPr>
      <w:bookmarkStart w:id="13" w:name="_Hlk157390620"/>
      <w:r w:rsidRPr="00726BD5">
        <w:rPr>
          <w:rFonts w:ascii="Montserrat" w:hAnsi="Montserrat"/>
        </w:rPr>
        <w:t xml:space="preserve">En el rubro de Derechos a recibir Efectivos y Equivalentes y Bienes o Servicios, cada dependencia del Poder Judicial debe señalar en sus notas del informe trimestral de manera desglosada los siguientes requerimientos: </w:t>
      </w:r>
    </w:p>
    <w:p w14:paraId="106F565E" w14:textId="77777777" w:rsidR="00D05661" w:rsidRPr="00726BD5" w:rsidRDefault="00D05661" w:rsidP="00D05661">
      <w:pPr>
        <w:jc w:val="both"/>
        <w:rPr>
          <w:rFonts w:ascii="Montserrat" w:hAnsi="Montserrat"/>
        </w:rPr>
      </w:pPr>
    </w:p>
    <w:p w14:paraId="1A511EA1" w14:textId="77777777" w:rsidR="00D05661" w:rsidRPr="00726BD5" w:rsidRDefault="00D05661" w:rsidP="00D05661">
      <w:pPr>
        <w:jc w:val="both"/>
        <w:rPr>
          <w:rFonts w:ascii="Montserrat" w:hAnsi="Montserrat"/>
        </w:rPr>
      </w:pPr>
      <w:r w:rsidRPr="00726BD5">
        <w:rPr>
          <w:rFonts w:ascii="Montserrat" w:hAnsi="Montserrat"/>
        </w:rPr>
        <w:t>Por tipo de contribución se informará el monto que se encuentre pendiente de cobro y por recuperar de hasta cinco ejercicios anteriores, así mismo se deberán considerar los montos sujetos a algún tipo de juicio con una antigüedad mayor a la señalada y la factibilidad de cobro.</w:t>
      </w:r>
    </w:p>
    <w:p w14:paraId="3510CF18" w14:textId="77777777" w:rsidR="00D05661" w:rsidRPr="00726BD5" w:rsidRDefault="00D05661" w:rsidP="00D05661">
      <w:pPr>
        <w:jc w:val="both"/>
        <w:rPr>
          <w:rFonts w:ascii="Montserrat" w:hAnsi="Montserrat"/>
        </w:rPr>
      </w:pPr>
    </w:p>
    <w:p w14:paraId="60E5A5EE" w14:textId="77777777" w:rsidR="00D05661" w:rsidRPr="00726BD5" w:rsidRDefault="00D05661" w:rsidP="00D05661">
      <w:pPr>
        <w:jc w:val="both"/>
        <w:rPr>
          <w:rFonts w:ascii="Montserrat" w:hAnsi="Montserrat"/>
        </w:rPr>
      </w:pPr>
      <w:r w:rsidRPr="00726BD5">
        <w:rPr>
          <w:rFonts w:ascii="Montserrat" w:hAnsi="Montserrat"/>
        </w:rPr>
        <w:lastRenderedPageBreak/>
        <w:t>Deberán de informar de manera agrupada, los derechos a recibir efectivo y equivalentes, y bienes o servicios, (excepto cuentas por cobrar de contribuciones e inversiones financieras) en una desagregación por su vencimiento en días a 90, 180, menor o igual a 365 y mayor a 365. Adicionalmente, se informará de las características cualitativas relevantes que afecten a estas cuentas.</w:t>
      </w:r>
    </w:p>
    <w:p w14:paraId="651B8FF9" w14:textId="77777777" w:rsidR="00D05661" w:rsidRPr="00726BD5" w:rsidRDefault="00D05661" w:rsidP="00D05661">
      <w:pPr>
        <w:jc w:val="both"/>
        <w:rPr>
          <w:rFonts w:ascii="Montserrat" w:hAnsi="Montserrat"/>
        </w:rPr>
      </w:pPr>
    </w:p>
    <w:p w14:paraId="6D6F2E9A" w14:textId="77777777" w:rsidR="00D05661" w:rsidRPr="00726BD5" w:rsidRDefault="00D05661" w:rsidP="00D05661">
      <w:pPr>
        <w:rPr>
          <w:rFonts w:ascii="Montserrat" w:hAnsi="Montserrat"/>
          <w:b/>
        </w:rPr>
      </w:pPr>
      <w:r w:rsidRPr="00726BD5">
        <w:rPr>
          <w:rFonts w:ascii="Montserrat" w:hAnsi="Montserrat"/>
          <w:b/>
        </w:rPr>
        <w:t>Nota 6.- Inventarios</w:t>
      </w:r>
    </w:p>
    <w:p w14:paraId="5D5BC068" w14:textId="77777777" w:rsidR="00D05661" w:rsidRPr="00726BD5" w:rsidRDefault="00D05661" w:rsidP="00D05661">
      <w:pPr>
        <w:pStyle w:val="Texto"/>
        <w:spacing w:after="0" w:line="203" w:lineRule="exact"/>
        <w:ind w:firstLine="289"/>
        <w:rPr>
          <w:rFonts w:ascii="Montserrat" w:hAnsi="Montserrat"/>
          <w:b/>
          <w:sz w:val="24"/>
          <w:szCs w:val="24"/>
          <w:lang w:val="es-MX"/>
        </w:rPr>
      </w:pPr>
    </w:p>
    <w:p w14:paraId="23F1365E" w14:textId="77777777" w:rsidR="00D05661" w:rsidRPr="00726BD5" w:rsidRDefault="00D05661" w:rsidP="00D05661">
      <w:pPr>
        <w:jc w:val="both"/>
        <w:rPr>
          <w:rFonts w:ascii="Montserrat" w:hAnsi="Montserrat"/>
        </w:rPr>
      </w:pPr>
      <w:r w:rsidRPr="00726BD5">
        <w:rPr>
          <w:rFonts w:ascii="Montserrat" w:hAnsi="Montserrat"/>
        </w:rPr>
        <w:t>Dentro del rubro de inventarios las dependencias del Poder Ejecutivo no presentan saldos, toda vez que por su actividad no es una cuenta que se requiera, ya que no cuentan con bienes para su transformación.</w:t>
      </w:r>
    </w:p>
    <w:p w14:paraId="77BF6CCB" w14:textId="77777777" w:rsidR="00D05661" w:rsidRPr="00726BD5" w:rsidRDefault="00D05661" w:rsidP="00D05661">
      <w:pPr>
        <w:pStyle w:val="ROMANOS"/>
        <w:spacing w:after="0" w:line="203" w:lineRule="exact"/>
        <w:ind w:hanging="431"/>
        <w:rPr>
          <w:rFonts w:ascii="Montserrat" w:hAnsi="Montserrat"/>
          <w:sz w:val="24"/>
          <w:szCs w:val="24"/>
          <w:lang w:val="es-MX"/>
        </w:rPr>
      </w:pPr>
    </w:p>
    <w:p w14:paraId="05BD8DE1" w14:textId="77777777" w:rsidR="00D05661" w:rsidRPr="00726BD5" w:rsidRDefault="00D05661" w:rsidP="00D05661">
      <w:pPr>
        <w:keepNext/>
        <w:rPr>
          <w:rFonts w:ascii="Montserrat" w:hAnsi="Montserrat"/>
          <w:b/>
        </w:rPr>
      </w:pPr>
      <w:r w:rsidRPr="00726BD5">
        <w:rPr>
          <w:rFonts w:ascii="Montserrat" w:hAnsi="Montserrat"/>
          <w:b/>
        </w:rPr>
        <w:t>Nota 7.- Almacenes</w:t>
      </w:r>
    </w:p>
    <w:p w14:paraId="53F89407" w14:textId="77777777" w:rsidR="00D05661" w:rsidRPr="00726BD5" w:rsidRDefault="00D05661" w:rsidP="00D05661">
      <w:pPr>
        <w:rPr>
          <w:rFonts w:ascii="Montserrat" w:hAnsi="Montserrat"/>
          <w:b/>
        </w:rPr>
      </w:pPr>
    </w:p>
    <w:p w14:paraId="0253BF97" w14:textId="77777777" w:rsidR="00D05661" w:rsidRPr="00726BD5" w:rsidRDefault="00D05661" w:rsidP="00D05661">
      <w:pPr>
        <w:jc w:val="both"/>
        <w:rPr>
          <w:rFonts w:ascii="Montserrat" w:hAnsi="Montserrat"/>
        </w:rPr>
      </w:pPr>
      <w:r w:rsidRPr="00726BD5">
        <w:rPr>
          <w:rFonts w:ascii="Montserrat" w:hAnsi="Montserrat"/>
        </w:rPr>
        <w:t xml:space="preserve">Dentro del rubro de almacenes las dependencias del Poder Ejecutivo no presentan saldos, toda vez que por su actividad no es una cuenta que se requiera, ya que no cuentan con Materiales de Administración, Emisión de Documentos y Artículos Oficiales ni Herramientas, Refacciones y Accesorios Menores para Consumo </w:t>
      </w:r>
    </w:p>
    <w:p w14:paraId="61E9BEAC" w14:textId="77777777" w:rsidR="00D05661" w:rsidRPr="00726BD5" w:rsidRDefault="00D05661" w:rsidP="00D05661">
      <w:pPr>
        <w:rPr>
          <w:rFonts w:ascii="Montserrat" w:hAnsi="Montserrat"/>
          <w:b/>
        </w:rPr>
      </w:pPr>
    </w:p>
    <w:p w14:paraId="5F44BCE1" w14:textId="77777777" w:rsidR="00D05661" w:rsidRPr="00726BD5" w:rsidRDefault="00D05661" w:rsidP="00D05661">
      <w:pPr>
        <w:rPr>
          <w:rFonts w:ascii="Montserrat" w:hAnsi="Montserrat"/>
        </w:rPr>
      </w:pPr>
      <w:r w:rsidRPr="00726BD5">
        <w:rPr>
          <w:rFonts w:ascii="Montserrat" w:hAnsi="Montserrat"/>
          <w:b/>
        </w:rPr>
        <w:t>Nota 8.- Inversiones Financieras a Largo Plazo.</w:t>
      </w:r>
    </w:p>
    <w:bookmarkEnd w:id="13"/>
    <w:p w14:paraId="6B0EDFE6" w14:textId="77777777" w:rsidR="00D05661" w:rsidRPr="00726BD5" w:rsidRDefault="00D05661" w:rsidP="00D05661">
      <w:pPr>
        <w:jc w:val="both"/>
        <w:rPr>
          <w:rFonts w:ascii="Montserrat" w:hAnsi="Montserrat"/>
        </w:rPr>
      </w:pPr>
    </w:p>
    <w:p w14:paraId="34B0646E" w14:textId="77777777" w:rsidR="00D05661" w:rsidRPr="00726BD5" w:rsidRDefault="00D05661" w:rsidP="00D05661">
      <w:pPr>
        <w:jc w:val="both"/>
        <w:rPr>
          <w:rFonts w:ascii="Montserrat" w:hAnsi="Montserrat"/>
        </w:rPr>
      </w:pPr>
      <w:r w:rsidRPr="00726BD5">
        <w:rPr>
          <w:rFonts w:ascii="Montserrat" w:hAnsi="Montserrat"/>
        </w:rPr>
        <w:t>Del activo no circulante el rubro consolidado de Inversiones Financieras a Largo Plazo Consolidado, el saldo al cierre del periodo enero-junio de 2025 y 2024, son exclusivos del Poder Ejecutivo, el cual tiene invertido en títulos, valores y demás instrumentos financieros, recuperables en un plazo mayor de doce meses, como se muestra a continuación:</w:t>
      </w:r>
    </w:p>
    <w:p w14:paraId="6E099CC3" w14:textId="77777777" w:rsidR="00D05661" w:rsidRPr="00726BD5" w:rsidRDefault="00D05661" w:rsidP="00D05661">
      <w:pPr>
        <w:jc w:val="both"/>
        <w:rPr>
          <w:rFonts w:ascii="Montserrat" w:hAnsi="Montserrat"/>
        </w:rPr>
      </w:pPr>
    </w:p>
    <w:p w14:paraId="01CFC5A7" w14:textId="77777777" w:rsidR="00D05661" w:rsidRPr="00726BD5" w:rsidRDefault="00D05661" w:rsidP="00D05661">
      <w:pPr>
        <w:pBdr>
          <w:top w:val="nil"/>
          <w:left w:val="nil"/>
          <w:bottom w:val="nil"/>
          <w:right w:val="nil"/>
          <w:between w:val="nil"/>
        </w:pBdr>
        <w:jc w:val="center"/>
        <w:rPr>
          <w:rFonts w:ascii="Montserrat" w:hAnsi="Montserrat"/>
          <w:b/>
        </w:rPr>
      </w:pPr>
      <w:r w:rsidRPr="00726BD5">
        <w:rPr>
          <w:rFonts w:ascii="Montserrat" w:hAnsi="Montserrat"/>
          <w:b/>
        </w:rPr>
        <w:t>(Pesos)</w:t>
      </w:r>
    </w:p>
    <w:tbl>
      <w:tblPr>
        <w:tblW w:w="9099" w:type="dxa"/>
        <w:tblInd w:w="55" w:type="dxa"/>
        <w:tblCellMar>
          <w:left w:w="70" w:type="dxa"/>
          <w:right w:w="70" w:type="dxa"/>
        </w:tblCellMar>
        <w:tblLook w:val="04A0" w:firstRow="1" w:lastRow="0" w:firstColumn="1" w:lastColumn="0" w:noHBand="0" w:noVBand="1"/>
      </w:tblPr>
      <w:tblGrid>
        <w:gridCol w:w="4567"/>
        <w:gridCol w:w="2275"/>
        <w:gridCol w:w="2257"/>
      </w:tblGrid>
      <w:tr w:rsidR="00D05661" w:rsidRPr="00726BD5" w14:paraId="1947B25E" w14:textId="77777777" w:rsidTr="005D0CB2">
        <w:trPr>
          <w:trHeight w:val="320"/>
        </w:trPr>
        <w:tc>
          <w:tcPr>
            <w:tcW w:w="456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ADE3EDC"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75"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B1E3153"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0571EDC"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D05661" w:rsidRPr="00726BD5" w14:paraId="63771733" w14:textId="77777777" w:rsidTr="00BE0300">
        <w:trPr>
          <w:trHeight w:val="305"/>
        </w:trPr>
        <w:tc>
          <w:tcPr>
            <w:tcW w:w="4567" w:type="dxa"/>
            <w:tcBorders>
              <w:top w:val="nil"/>
              <w:left w:val="single" w:sz="8" w:space="0" w:color="auto"/>
              <w:bottom w:val="single" w:sz="8" w:space="0" w:color="auto"/>
              <w:right w:val="single" w:sz="8" w:space="0" w:color="auto"/>
            </w:tcBorders>
            <w:shd w:val="clear" w:color="000000" w:fill="FFFFFF"/>
            <w:vAlign w:val="center"/>
            <w:hideMark/>
          </w:tcPr>
          <w:p w14:paraId="6E928ED2" w14:textId="77777777" w:rsidR="00D05661" w:rsidRPr="00726BD5" w:rsidRDefault="00D05661" w:rsidP="00BE0300">
            <w:pPr>
              <w:rPr>
                <w:rFonts w:ascii="Montserrat" w:eastAsia="Times New Roman" w:hAnsi="Montserrat" w:cs="Arial"/>
                <w:color w:val="000000"/>
                <w:lang w:val="es-MX"/>
              </w:rPr>
            </w:pPr>
            <w:r w:rsidRPr="00726BD5">
              <w:rPr>
                <w:rFonts w:ascii="Montserrat" w:eastAsia="Times New Roman" w:hAnsi="Montserrat" w:cs="Arial"/>
                <w:color w:val="000000"/>
                <w:lang w:val="es-MX"/>
              </w:rPr>
              <w:t xml:space="preserve">Fideicomisos, Mandatos y Análogos </w:t>
            </w:r>
          </w:p>
        </w:tc>
        <w:tc>
          <w:tcPr>
            <w:tcW w:w="2275" w:type="dxa"/>
            <w:tcBorders>
              <w:top w:val="nil"/>
              <w:left w:val="nil"/>
              <w:bottom w:val="single" w:sz="8" w:space="0" w:color="auto"/>
              <w:right w:val="single" w:sz="8" w:space="0" w:color="auto"/>
            </w:tcBorders>
            <w:shd w:val="clear" w:color="000000" w:fill="FFFFFF"/>
            <w:vAlign w:val="center"/>
            <w:hideMark/>
          </w:tcPr>
          <w:p w14:paraId="077E03DB"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2,115,176,223</w:t>
            </w:r>
          </w:p>
        </w:tc>
        <w:tc>
          <w:tcPr>
            <w:tcW w:w="2257" w:type="dxa"/>
            <w:tcBorders>
              <w:top w:val="nil"/>
              <w:left w:val="nil"/>
              <w:bottom w:val="single" w:sz="8" w:space="0" w:color="auto"/>
              <w:right w:val="single" w:sz="8" w:space="0" w:color="auto"/>
            </w:tcBorders>
            <w:shd w:val="clear" w:color="000000" w:fill="FFFFFF"/>
            <w:vAlign w:val="center"/>
            <w:hideMark/>
          </w:tcPr>
          <w:p w14:paraId="08669BE3"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2,010,754,990</w:t>
            </w:r>
          </w:p>
        </w:tc>
      </w:tr>
      <w:tr w:rsidR="00D05661" w:rsidRPr="00726BD5" w14:paraId="45427F86" w14:textId="77777777" w:rsidTr="00BE0300">
        <w:trPr>
          <w:trHeight w:val="320"/>
        </w:trPr>
        <w:tc>
          <w:tcPr>
            <w:tcW w:w="4567" w:type="dxa"/>
            <w:tcBorders>
              <w:top w:val="nil"/>
              <w:left w:val="single" w:sz="8" w:space="0" w:color="auto"/>
              <w:bottom w:val="single" w:sz="8" w:space="0" w:color="auto"/>
              <w:right w:val="single" w:sz="8" w:space="0" w:color="auto"/>
            </w:tcBorders>
            <w:shd w:val="clear" w:color="000000" w:fill="FFFFFF"/>
            <w:noWrap/>
            <w:vAlign w:val="center"/>
            <w:hideMark/>
          </w:tcPr>
          <w:p w14:paraId="6AC1E128"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Suma</w:t>
            </w:r>
          </w:p>
        </w:tc>
        <w:tc>
          <w:tcPr>
            <w:tcW w:w="2275" w:type="dxa"/>
            <w:tcBorders>
              <w:top w:val="nil"/>
              <w:left w:val="nil"/>
              <w:bottom w:val="single" w:sz="8" w:space="0" w:color="auto"/>
              <w:right w:val="single" w:sz="8" w:space="0" w:color="auto"/>
            </w:tcBorders>
            <w:shd w:val="clear" w:color="000000" w:fill="FFFFFF"/>
            <w:noWrap/>
            <w:vAlign w:val="center"/>
            <w:hideMark/>
          </w:tcPr>
          <w:p w14:paraId="2AE7AF5F"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2,115,176,223</w:t>
            </w:r>
          </w:p>
        </w:tc>
        <w:tc>
          <w:tcPr>
            <w:tcW w:w="2257" w:type="dxa"/>
            <w:tcBorders>
              <w:top w:val="nil"/>
              <w:left w:val="nil"/>
              <w:bottom w:val="single" w:sz="8" w:space="0" w:color="auto"/>
              <w:right w:val="single" w:sz="8" w:space="0" w:color="auto"/>
            </w:tcBorders>
            <w:shd w:val="clear" w:color="000000" w:fill="FFFFFF"/>
            <w:noWrap/>
            <w:vAlign w:val="center"/>
            <w:hideMark/>
          </w:tcPr>
          <w:p w14:paraId="153FA24F"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2,010,754,990</w:t>
            </w:r>
          </w:p>
        </w:tc>
      </w:tr>
    </w:tbl>
    <w:p w14:paraId="232314D1" w14:textId="77777777" w:rsidR="00D05661" w:rsidRPr="00726BD5" w:rsidRDefault="00D05661" w:rsidP="00D05661">
      <w:pPr>
        <w:pBdr>
          <w:top w:val="nil"/>
          <w:left w:val="nil"/>
          <w:bottom w:val="nil"/>
          <w:right w:val="nil"/>
          <w:between w:val="nil"/>
        </w:pBdr>
        <w:rPr>
          <w:rFonts w:ascii="Montserrat" w:hAnsi="Montserrat"/>
          <w:b/>
        </w:rPr>
      </w:pPr>
    </w:p>
    <w:p w14:paraId="13E2674D" w14:textId="77777777" w:rsidR="00D05661" w:rsidRDefault="00D05661" w:rsidP="00D05661">
      <w:pPr>
        <w:rPr>
          <w:rFonts w:ascii="Montserrat" w:hAnsi="Montserrat"/>
          <w:b/>
        </w:rPr>
      </w:pPr>
      <w:bookmarkStart w:id="14" w:name="_Hlk157308841"/>
      <w:bookmarkStart w:id="15" w:name="_Hlk157390724"/>
    </w:p>
    <w:p w14:paraId="55E6819C" w14:textId="070731BD" w:rsidR="00C33ACA" w:rsidRDefault="00C33ACA">
      <w:pPr>
        <w:rPr>
          <w:rFonts w:ascii="Montserrat" w:hAnsi="Montserrat"/>
          <w:b/>
        </w:rPr>
      </w:pPr>
      <w:r>
        <w:rPr>
          <w:rFonts w:ascii="Montserrat" w:hAnsi="Montserrat"/>
          <w:b/>
        </w:rPr>
        <w:br w:type="page"/>
      </w:r>
    </w:p>
    <w:p w14:paraId="31BB0119" w14:textId="77777777" w:rsidR="005D0CB2" w:rsidRPr="00726BD5" w:rsidRDefault="005D0CB2" w:rsidP="00D05661">
      <w:pPr>
        <w:rPr>
          <w:rFonts w:ascii="Montserrat" w:hAnsi="Montserrat"/>
          <w:b/>
        </w:rPr>
      </w:pPr>
    </w:p>
    <w:p w14:paraId="6FA1B27C" w14:textId="4F3B51B9" w:rsidR="00D05661" w:rsidRPr="00726BD5" w:rsidRDefault="00D05661" w:rsidP="00D05661">
      <w:pPr>
        <w:rPr>
          <w:rFonts w:ascii="Montserrat" w:hAnsi="Montserrat"/>
          <w:b/>
        </w:rPr>
      </w:pPr>
      <w:r w:rsidRPr="00726BD5">
        <w:rPr>
          <w:rFonts w:ascii="Montserrat" w:hAnsi="Montserrat"/>
          <w:b/>
        </w:rPr>
        <w:t>Nota 9.- Bienes Muebles, Inmuebles e Intangibles</w:t>
      </w:r>
    </w:p>
    <w:p w14:paraId="2949441F" w14:textId="77777777" w:rsidR="00D05661" w:rsidRPr="00726BD5" w:rsidRDefault="00D05661" w:rsidP="00D05661">
      <w:pPr>
        <w:rPr>
          <w:rFonts w:ascii="Montserrat" w:hAnsi="Montserrat"/>
          <w:b/>
        </w:rPr>
      </w:pPr>
    </w:p>
    <w:p w14:paraId="7AC72383" w14:textId="77777777" w:rsidR="00D05661" w:rsidRPr="00726BD5" w:rsidRDefault="00D05661" w:rsidP="00D05661">
      <w:pPr>
        <w:rPr>
          <w:rFonts w:ascii="Montserrat" w:hAnsi="Montserrat"/>
          <w:b/>
        </w:rPr>
      </w:pPr>
      <w:r w:rsidRPr="00726BD5">
        <w:rPr>
          <w:rFonts w:ascii="Montserrat" w:hAnsi="Montserrat"/>
          <w:b/>
        </w:rPr>
        <w:t>Bienes Inmuebles, Infraestructura y Construcciones en Proceso.</w:t>
      </w:r>
    </w:p>
    <w:bookmarkEnd w:id="14"/>
    <w:p w14:paraId="44AA5904" w14:textId="77777777" w:rsidR="00D05661" w:rsidRPr="00726BD5" w:rsidRDefault="00D05661" w:rsidP="00D05661">
      <w:pPr>
        <w:jc w:val="both"/>
        <w:rPr>
          <w:rFonts w:ascii="Montserrat" w:hAnsi="Montserrat"/>
        </w:rPr>
      </w:pPr>
    </w:p>
    <w:bookmarkEnd w:id="15"/>
    <w:p w14:paraId="5625D52E" w14:textId="77777777" w:rsidR="00D05661" w:rsidRPr="00726BD5" w:rsidRDefault="00D05661" w:rsidP="00D05661">
      <w:pPr>
        <w:pBdr>
          <w:top w:val="nil"/>
          <w:left w:val="nil"/>
          <w:bottom w:val="nil"/>
          <w:right w:val="nil"/>
          <w:between w:val="nil"/>
        </w:pBdr>
        <w:jc w:val="both"/>
        <w:rPr>
          <w:rFonts w:ascii="Montserrat" w:hAnsi="Montserrat"/>
        </w:rPr>
      </w:pPr>
      <w:r w:rsidRPr="00726BD5">
        <w:rPr>
          <w:rFonts w:ascii="Montserrat" w:hAnsi="Montserrat"/>
        </w:rPr>
        <w:t>Este rubro dentro del activo no circulante representa el valor de los Bienes Inmuebles, así como el valor de Infraestructura y Construcciones que se encuentran en proceso de ejecución y otros conceptos de los entes públicos que conforman el Poder Ejecutivo, cuya valuación es en base al costo histórico y que al cierre del periodo enero-junio de 2025 y 2024, se integran de la siguiente forma</w:t>
      </w:r>
    </w:p>
    <w:p w14:paraId="74025409" w14:textId="77777777" w:rsidR="005D0CB2" w:rsidRPr="00726BD5" w:rsidRDefault="005D0CB2" w:rsidP="00D05661">
      <w:pPr>
        <w:keepNext/>
        <w:keepLines/>
        <w:pBdr>
          <w:top w:val="nil"/>
          <w:left w:val="nil"/>
          <w:bottom w:val="nil"/>
          <w:right w:val="nil"/>
          <w:between w:val="nil"/>
        </w:pBdr>
        <w:jc w:val="center"/>
        <w:rPr>
          <w:rFonts w:ascii="Montserrat" w:hAnsi="Montserrat"/>
          <w:b/>
        </w:rPr>
      </w:pPr>
    </w:p>
    <w:p w14:paraId="5CA253F4" w14:textId="16BD3761" w:rsidR="00D05661" w:rsidRPr="00726BD5" w:rsidRDefault="00D05661" w:rsidP="00D05661">
      <w:pPr>
        <w:keepNext/>
        <w:keepLines/>
        <w:pBdr>
          <w:top w:val="nil"/>
          <w:left w:val="nil"/>
          <w:bottom w:val="nil"/>
          <w:right w:val="nil"/>
          <w:between w:val="nil"/>
        </w:pBdr>
        <w:jc w:val="center"/>
        <w:rPr>
          <w:rFonts w:ascii="Montserrat" w:hAnsi="Montserrat"/>
          <w:b/>
        </w:rPr>
      </w:pPr>
      <w:r w:rsidRPr="00726BD5">
        <w:rPr>
          <w:rFonts w:ascii="Montserrat" w:hAnsi="Montserrat"/>
          <w:b/>
        </w:rPr>
        <w:t>(Pesos)</w:t>
      </w:r>
    </w:p>
    <w:tbl>
      <w:tblPr>
        <w:tblW w:w="9008" w:type="dxa"/>
        <w:tblInd w:w="55"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104"/>
        <w:gridCol w:w="1958"/>
        <w:gridCol w:w="1946"/>
      </w:tblGrid>
      <w:tr w:rsidR="00D05661" w:rsidRPr="00726BD5" w14:paraId="4D28A223" w14:textId="77777777" w:rsidTr="00C33ACA">
        <w:trPr>
          <w:trHeight w:val="311"/>
        </w:trPr>
        <w:tc>
          <w:tcPr>
            <w:tcW w:w="5104" w:type="dxa"/>
            <w:shd w:val="clear" w:color="auto" w:fill="D9D9D9" w:themeFill="background1" w:themeFillShade="D9"/>
            <w:vAlign w:val="center"/>
            <w:hideMark/>
          </w:tcPr>
          <w:p w14:paraId="5A7B9FF1" w14:textId="77777777" w:rsidR="00D05661" w:rsidRPr="00726BD5" w:rsidRDefault="00D05661" w:rsidP="005D0CB2">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1958" w:type="dxa"/>
            <w:shd w:val="clear" w:color="auto" w:fill="D9D9D9" w:themeFill="background1" w:themeFillShade="D9"/>
            <w:vAlign w:val="center"/>
            <w:hideMark/>
          </w:tcPr>
          <w:p w14:paraId="53B3B465" w14:textId="77777777" w:rsidR="00D05661" w:rsidRPr="00726BD5" w:rsidRDefault="00D05661" w:rsidP="005D0CB2">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1946" w:type="dxa"/>
            <w:shd w:val="clear" w:color="auto" w:fill="D9D9D9" w:themeFill="background1" w:themeFillShade="D9"/>
            <w:vAlign w:val="center"/>
            <w:hideMark/>
          </w:tcPr>
          <w:p w14:paraId="301C6A59" w14:textId="77777777" w:rsidR="00D05661" w:rsidRPr="00726BD5" w:rsidRDefault="00D05661" w:rsidP="005D0CB2">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D05661" w:rsidRPr="00726BD5" w14:paraId="6F496FA7" w14:textId="77777777" w:rsidTr="00C33ACA">
        <w:trPr>
          <w:trHeight w:val="281"/>
        </w:trPr>
        <w:tc>
          <w:tcPr>
            <w:tcW w:w="5104" w:type="dxa"/>
            <w:shd w:val="clear" w:color="000000" w:fill="FFFFFF"/>
            <w:noWrap/>
            <w:vAlign w:val="center"/>
            <w:hideMark/>
          </w:tcPr>
          <w:p w14:paraId="2AE0EF55"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Terrenos</w:t>
            </w:r>
          </w:p>
        </w:tc>
        <w:tc>
          <w:tcPr>
            <w:tcW w:w="1958" w:type="dxa"/>
            <w:shd w:val="clear" w:color="000000" w:fill="FFFFFF"/>
            <w:vAlign w:val="center"/>
            <w:hideMark/>
          </w:tcPr>
          <w:p w14:paraId="124A68D2"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6,019,864,138</w:t>
            </w:r>
          </w:p>
        </w:tc>
        <w:tc>
          <w:tcPr>
            <w:tcW w:w="1946" w:type="dxa"/>
            <w:shd w:val="clear" w:color="000000" w:fill="FFFFFF"/>
            <w:vAlign w:val="center"/>
            <w:hideMark/>
          </w:tcPr>
          <w:p w14:paraId="4BA40B11"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5,400,844,607</w:t>
            </w:r>
          </w:p>
        </w:tc>
      </w:tr>
      <w:tr w:rsidR="00D05661" w:rsidRPr="00726BD5" w14:paraId="329EB93C" w14:textId="77777777" w:rsidTr="00C33ACA">
        <w:trPr>
          <w:trHeight w:val="281"/>
        </w:trPr>
        <w:tc>
          <w:tcPr>
            <w:tcW w:w="5104" w:type="dxa"/>
            <w:shd w:val="clear" w:color="000000" w:fill="FFFFFF"/>
            <w:noWrap/>
            <w:vAlign w:val="center"/>
            <w:hideMark/>
          </w:tcPr>
          <w:p w14:paraId="6F4D49C2"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Edificios No Habitacionales</w:t>
            </w:r>
          </w:p>
        </w:tc>
        <w:tc>
          <w:tcPr>
            <w:tcW w:w="1958" w:type="dxa"/>
            <w:shd w:val="clear" w:color="000000" w:fill="FFFFFF"/>
            <w:vAlign w:val="center"/>
            <w:hideMark/>
          </w:tcPr>
          <w:p w14:paraId="03138D7E"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5,916,536,925</w:t>
            </w:r>
          </w:p>
        </w:tc>
        <w:tc>
          <w:tcPr>
            <w:tcW w:w="1946" w:type="dxa"/>
            <w:shd w:val="clear" w:color="000000" w:fill="FFFFFF"/>
            <w:vAlign w:val="center"/>
            <w:hideMark/>
          </w:tcPr>
          <w:p w14:paraId="2027D18C"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5,537,535,863</w:t>
            </w:r>
          </w:p>
        </w:tc>
      </w:tr>
      <w:tr w:rsidR="00D05661" w:rsidRPr="00726BD5" w14:paraId="33449463" w14:textId="77777777" w:rsidTr="00C33ACA">
        <w:trPr>
          <w:trHeight w:val="563"/>
        </w:trPr>
        <w:tc>
          <w:tcPr>
            <w:tcW w:w="5104" w:type="dxa"/>
            <w:shd w:val="clear" w:color="000000" w:fill="FFFFFF"/>
            <w:noWrap/>
            <w:vAlign w:val="center"/>
            <w:hideMark/>
          </w:tcPr>
          <w:p w14:paraId="0E350752"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Construcciones En Proceso En Bienes De Dominio Público</w:t>
            </w:r>
          </w:p>
        </w:tc>
        <w:tc>
          <w:tcPr>
            <w:tcW w:w="1958" w:type="dxa"/>
            <w:shd w:val="clear" w:color="000000" w:fill="FFFFFF"/>
            <w:vAlign w:val="center"/>
            <w:hideMark/>
          </w:tcPr>
          <w:p w14:paraId="23668412"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6,416,306,657</w:t>
            </w:r>
          </w:p>
        </w:tc>
        <w:tc>
          <w:tcPr>
            <w:tcW w:w="1946" w:type="dxa"/>
            <w:shd w:val="clear" w:color="000000" w:fill="FFFFFF"/>
            <w:vAlign w:val="center"/>
            <w:hideMark/>
          </w:tcPr>
          <w:p w14:paraId="2EE5719E"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6,280,160,829</w:t>
            </w:r>
          </w:p>
        </w:tc>
      </w:tr>
      <w:tr w:rsidR="00D05661" w:rsidRPr="00726BD5" w14:paraId="7E578E3C" w14:textId="77777777" w:rsidTr="00C33ACA">
        <w:trPr>
          <w:trHeight w:val="281"/>
        </w:trPr>
        <w:tc>
          <w:tcPr>
            <w:tcW w:w="5104" w:type="dxa"/>
            <w:shd w:val="clear" w:color="000000" w:fill="FFFFFF"/>
            <w:noWrap/>
            <w:vAlign w:val="center"/>
            <w:hideMark/>
          </w:tcPr>
          <w:p w14:paraId="68FD7992"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Construcciones En Proceso En Bienes Propios</w:t>
            </w:r>
          </w:p>
        </w:tc>
        <w:tc>
          <w:tcPr>
            <w:tcW w:w="1958" w:type="dxa"/>
            <w:shd w:val="clear" w:color="000000" w:fill="FFFFFF"/>
            <w:vAlign w:val="center"/>
            <w:hideMark/>
          </w:tcPr>
          <w:p w14:paraId="5F2DCD8C"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119,839,740</w:t>
            </w:r>
          </w:p>
        </w:tc>
        <w:tc>
          <w:tcPr>
            <w:tcW w:w="1946" w:type="dxa"/>
            <w:shd w:val="clear" w:color="000000" w:fill="FFFFFF"/>
            <w:vAlign w:val="center"/>
            <w:hideMark/>
          </w:tcPr>
          <w:p w14:paraId="7B336932"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108,716,759</w:t>
            </w:r>
          </w:p>
        </w:tc>
      </w:tr>
      <w:tr w:rsidR="00D05661" w:rsidRPr="00726BD5" w14:paraId="17C3DC6D" w14:textId="77777777" w:rsidTr="00C33ACA">
        <w:trPr>
          <w:trHeight w:val="281"/>
        </w:trPr>
        <w:tc>
          <w:tcPr>
            <w:tcW w:w="5104" w:type="dxa"/>
            <w:shd w:val="clear" w:color="000000" w:fill="FFFFFF"/>
            <w:noWrap/>
            <w:vAlign w:val="center"/>
            <w:hideMark/>
          </w:tcPr>
          <w:p w14:paraId="7FF8835D"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Otros Bienes Inmuebles</w:t>
            </w:r>
          </w:p>
        </w:tc>
        <w:tc>
          <w:tcPr>
            <w:tcW w:w="1958" w:type="dxa"/>
            <w:shd w:val="clear" w:color="000000" w:fill="FFFFFF"/>
            <w:vAlign w:val="center"/>
            <w:hideMark/>
          </w:tcPr>
          <w:p w14:paraId="7BD47274"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84,136,340</w:t>
            </w:r>
          </w:p>
        </w:tc>
        <w:tc>
          <w:tcPr>
            <w:tcW w:w="1946" w:type="dxa"/>
            <w:shd w:val="clear" w:color="000000" w:fill="FFFFFF"/>
            <w:vAlign w:val="center"/>
            <w:hideMark/>
          </w:tcPr>
          <w:p w14:paraId="2037CD18"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0</w:t>
            </w:r>
          </w:p>
        </w:tc>
      </w:tr>
      <w:tr w:rsidR="00D05661" w:rsidRPr="00726BD5" w14:paraId="418436E8" w14:textId="77777777" w:rsidTr="00C33ACA">
        <w:trPr>
          <w:trHeight w:val="296"/>
        </w:trPr>
        <w:tc>
          <w:tcPr>
            <w:tcW w:w="5104" w:type="dxa"/>
            <w:shd w:val="clear" w:color="000000" w:fill="FFFFFF"/>
            <w:noWrap/>
            <w:vAlign w:val="center"/>
            <w:hideMark/>
          </w:tcPr>
          <w:p w14:paraId="4FEBF8BF" w14:textId="5DAE6193" w:rsidR="00D05661" w:rsidRPr="00726BD5" w:rsidRDefault="00C33ACA" w:rsidP="00C33ACA">
            <w:pPr>
              <w:rPr>
                <w:rFonts w:ascii="Montserrat" w:eastAsia="Times New Roman" w:hAnsi="Montserrat" w:cs="Arial"/>
                <w:b/>
                <w:bCs/>
                <w:color w:val="000000"/>
                <w:lang w:val="es-MX"/>
              </w:rPr>
            </w:pPr>
            <w:r>
              <w:rPr>
                <w:rFonts w:ascii="Montserrat" w:eastAsia="Times New Roman" w:hAnsi="Montserrat" w:cs="Arial"/>
                <w:b/>
                <w:bCs/>
                <w:color w:val="000000"/>
                <w:lang w:val="es-MX"/>
              </w:rPr>
              <w:t xml:space="preserve">Total de </w:t>
            </w:r>
            <w:r w:rsidRPr="00726BD5">
              <w:rPr>
                <w:rFonts w:ascii="Montserrat" w:hAnsi="Montserrat"/>
                <w:b/>
              </w:rPr>
              <w:t>Bienes Inmuebles</w:t>
            </w:r>
          </w:p>
        </w:tc>
        <w:tc>
          <w:tcPr>
            <w:tcW w:w="1958" w:type="dxa"/>
            <w:shd w:val="clear" w:color="000000" w:fill="FFFFFF"/>
            <w:vAlign w:val="center"/>
            <w:hideMark/>
          </w:tcPr>
          <w:p w14:paraId="2AB2853D"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18,556,683,800</w:t>
            </w:r>
          </w:p>
        </w:tc>
        <w:tc>
          <w:tcPr>
            <w:tcW w:w="1946" w:type="dxa"/>
            <w:shd w:val="clear" w:color="000000" w:fill="FFFFFF"/>
            <w:vAlign w:val="center"/>
            <w:hideMark/>
          </w:tcPr>
          <w:p w14:paraId="1DAE4470"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17,327,258,058</w:t>
            </w:r>
          </w:p>
        </w:tc>
      </w:tr>
    </w:tbl>
    <w:p w14:paraId="083B414B" w14:textId="77777777" w:rsidR="00D05661" w:rsidRPr="00726BD5" w:rsidRDefault="00D05661" w:rsidP="00D05661">
      <w:pPr>
        <w:tabs>
          <w:tab w:val="right" w:pos="8931"/>
        </w:tabs>
        <w:jc w:val="both"/>
        <w:rPr>
          <w:rFonts w:ascii="Montserrat" w:hAnsi="Montserrat"/>
          <w:b/>
        </w:rPr>
      </w:pPr>
    </w:p>
    <w:p w14:paraId="0735C13B" w14:textId="77777777" w:rsidR="005D0CB2" w:rsidRPr="00726BD5" w:rsidRDefault="005D0CB2" w:rsidP="00D05661">
      <w:pPr>
        <w:rPr>
          <w:rFonts w:ascii="Montserrat" w:hAnsi="Montserrat"/>
          <w:b/>
        </w:rPr>
      </w:pPr>
    </w:p>
    <w:p w14:paraId="2B6C3E33" w14:textId="77777777" w:rsidR="00D05661" w:rsidRPr="00726BD5" w:rsidRDefault="00D05661" w:rsidP="00D05661">
      <w:pPr>
        <w:keepNext/>
        <w:rPr>
          <w:rFonts w:ascii="Montserrat" w:hAnsi="Montserrat"/>
          <w:b/>
        </w:rPr>
      </w:pPr>
      <w:r w:rsidRPr="00726BD5">
        <w:rPr>
          <w:rFonts w:ascii="Montserrat" w:hAnsi="Montserrat"/>
          <w:b/>
        </w:rPr>
        <w:t>Bienes Muebles.</w:t>
      </w:r>
    </w:p>
    <w:p w14:paraId="729AE977" w14:textId="77777777" w:rsidR="00D05661" w:rsidRPr="00726BD5" w:rsidRDefault="00D05661" w:rsidP="00D05661">
      <w:pPr>
        <w:jc w:val="both"/>
        <w:rPr>
          <w:rFonts w:ascii="Montserrat" w:hAnsi="Montserrat"/>
          <w:b/>
        </w:rPr>
      </w:pPr>
    </w:p>
    <w:p w14:paraId="3BFB6A40" w14:textId="77777777" w:rsidR="00D05661" w:rsidRPr="00726BD5" w:rsidRDefault="00D05661" w:rsidP="00D05661">
      <w:pPr>
        <w:pBdr>
          <w:top w:val="nil"/>
          <w:left w:val="nil"/>
          <w:bottom w:val="nil"/>
          <w:right w:val="nil"/>
          <w:between w:val="nil"/>
        </w:pBdr>
        <w:jc w:val="both"/>
        <w:rPr>
          <w:rFonts w:ascii="Montserrat" w:hAnsi="Montserrat"/>
        </w:rPr>
      </w:pPr>
      <w:r w:rsidRPr="00726BD5">
        <w:rPr>
          <w:rFonts w:ascii="Montserrat" w:hAnsi="Montserrat"/>
        </w:rPr>
        <w:t>Dentro del activo no circulante este rubro refleja el valor de los bienes muebles que poseen los entes públicos que conforman el Poder Ejecutivo, integrándose de mobiliario y equipo de administración, mobiliario y equipo educacional y recreativo, equipo e instrumental médico y de laboratorio, vehículos y equipo de transporte, maquinaria, otros equipos y herramientas y colecciones, obras de arte y objetos valiosos, etc., los cuales son necesarios para la operatividad de los mismos, su valuación se basa al costo histórico, el saldo que integra el rubro al cierre del periodo enero-junio de 2025 y 2024, se detalla a continuación:</w:t>
      </w:r>
    </w:p>
    <w:p w14:paraId="285EB98D" w14:textId="05E22DFB" w:rsidR="00C33ACA" w:rsidRDefault="00C33ACA">
      <w:pPr>
        <w:rPr>
          <w:rFonts w:ascii="Montserrat" w:hAnsi="Montserrat"/>
        </w:rPr>
      </w:pPr>
      <w:r>
        <w:rPr>
          <w:rFonts w:ascii="Montserrat" w:hAnsi="Montserrat"/>
        </w:rPr>
        <w:br w:type="page"/>
      </w:r>
    </w:p>
    <w:p w14:paraId="7E6C6D94" w14:textId="77777777" w:rsidR="005D0CB2" w:rsidRPr="00726BD5" w:rsidRDefault="005D0CB2" w:rsidP="00D05661">
      <w:pPr>
        <w:pBdr>
          <w:top w:val="nil"/>
          <w:left w:val="nil"/>
          <w:bottom w:val="nil"/>
          <w:right w:val="nil"/>
          <w:between w:val="nil"/>
        </w:pBdr>
        <w:jc w:val="both"/>
        <w:rPr>
          <w:rFonts w:ascii="Montserrat" w:hAnsi="Montserrat"/>
        </w:rPr>
      </w:pPr>
    </w:p>
    <w:p w14:paraId="3727E202" w14:textId="77777777" w:rsidR="00D05661" w:rsidRPr="00726BD5" w:rsidRDefault="00D05661" w:rsidP="00D05661">
      <w:pPr>
        <w:jc w:val="center"/>
        <w:rPr>
          <w:rFonts w:ascii="Montserrat" w:hAnsi="Montserrat"/>
        </w:rPr>
      </w:pPr>
      <w:r w:rsidRPr="00726BD5">
        <w:rPr>
          <w:rFonts w:ascii="Montserrat" w:hAnsi="Montserrat"/>
          <w:b/>
        </w:rPr>
        <w:t>(Pesos)</w:t>
      </w:r>
    </w:p>
    <w:tbl>
      <w:tblPr>
        <w:tblW w:w="8994"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15"/>
        <w:gridCol w:w="2248"/>
        <w:gridCol w:w="2231"/>
      </w:tblGrid>
      <w:tr w:rsidR="00D05661" w:rsidRPr="00726BD5" w14:paraId="69E03558" w14:textId="77777777" w:rsidTr="00C33ACA">
        <w:trPr>
          <w:trHeight w:val="314"/>
        </w:trPr>
        <w:tc>
          <w:tcPr>
            <w:tcW w:w="4515" w:type="dxa"/>
            <w:shd w:val="clear" w:color="auto" w:fill="D9D9D9" w:themeFill="background1" w:themeFillShade="D9"/>
            <w:vAlign w:val="center"/>
            <w:hideMark/>
          </w:tcPr>
          <w:p w14:paraId="10162884"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48" w:type="dxa"/>
            <w:shd w:val="clear" w:color="auto" w:fill="D9D9D9" w:themeFill="background1" w:themeFillShade="D9"/>
            <w:vAlign w:val="center"/>
            <w:hideMark/>
          </w:tcPr>
          <w:p w14:paraId="3D1D15DD"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31" w:type="dxa"/>
            <w:shd w:val="clear" w:color="auto" w:fill="D9D9D9" w:themeFill="background1" w:themeFillShade="D9"/>
            <w:vAlign w:val="center"/>
            <w:hideMark/>
          </w:tcPr>
          <w:p w14:paraId="1FDC84D2"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D05661" w:rsidRPr="00726BD5" w14:paraId="6C8863FB" w14:textId="77777777" w:rsidTr="00C33ACA">
        <w:trPr>
          <w:trHeight w:val="284"/>
        </w:trPr>
        <w:tc>
          <w:tcPr>
            <w:tcW w:w="4515" w:type="dxa"/>
            <w:shd w:val="clear" w:color="000000" w:fill="FFFFFF"/>
            <w:noWrap/>
            <w:vAlign w:val="center"/>
            <w:hideMark/>
          </w:tcPr>
          <w:p w14:paraId="596B4EA1"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Mobiliario y Equipo de Administración</w:t>
            </w:r>
          </w:p>
        </w:tc>
        <w:tc>
          <w:tcPr>
            <w:tcW w:w="2248" w:type="dxa"/>
            <w:shd w:val="clear" w:color="000000" w:fill="FFFFFF"/>
            <w:noWrap/>
            <w:vAlign w:val="center"/>
            <w:hideMark/>
          </w:tcPr>
          <w:p w14:paraId="04B45248"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595,280,190</w:t>
            </w:r>
          </w:p>
        </w:tc>
        <w:tc>
          <w:tcPr>
            <w:tcW w:w="2231" w:type="dxa"/>
            <w:shd w:val="clear" w:color="000000" w:fill="FFFFFF"/>
            <w:noWrap/>
            <w:vAlign w:val="center"/>
            <w:hideMark/>
          </w:tcPr>
          <w:p w14:paraId="14C534D4"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546,824,185</w:t>
            </w:r>
          </w:p>
        </w:tc>
      </w:tr>
      <w:tr w:rsidR="00D05661" w:rsidRPr="00726BD5" w14:paraId="2AFF783F" w14:textId="77777777" w:rsidTr="00C33ACA">
        <w:trPr>
          <w:trHeight w:val="284"/>
        </w:trPr>
        <w:tc>
          <w:tcPr>
            <w:tcW w:w="4515" w:type="dxa"/>
            <w:shd w:val="clear" w:color="000000" w:fill="FFFFFF"/>
            <w:noWrap/>
            <w:vAlign w:val="center"/>
            <w:hideMark/>
          </w:tcPr>
          <w:p w14:paraId="47709283"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Mobiliario y Equipo Educacional y Recreativo</w:t>
            </w:r>
          </w:p>
        </w:tc>
        <w:tc>
          <w:tcPr>
            <w:tcW w:w="2248" w:type="dxa"/>
            <w:shd w:val="clear" w:color="000000" w:fill="FFFFFF"/>
            <w:noWrap/>
            <w:vAlign w:val="center"/>
            <w:hideMark/>
          </w:tcPr>
          <w:p w14:paraId="44B18F05"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181,363,090</w:t>
            </w:r>
          </w:p>
        </w:tc>
        <w:tc>
          <w:tcPr>
            <w:tcW w:w="2231" w:type="dxa"/>
            <w:shd w:val="clear" w:color="000000" w:fill="FFFFFF"/>
            <w:noWrap/>
            <w:vAlign w:val="center"/>
            <w:hideMark/>
          </w:tcPr>
          <w:p w14:paraId="6AC88E14"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185,179,722</w:t>
            </w:r>
          </w:p>
        </w:tc>
      </w:tr>
      <w:tr w:rsidR="00D05661" w:rsidRPr="00726BD5" w14:paraId="2564D3F7" w14:textId="77777777" w:rsidTr="00C33ACA">
        <w:trPr>
          <w:trHeight w:val="284"/>
        </w:trPr>
        <w:tc>
          <w:tcPr>
            <w:tcW w:w="4515" w:type="dxa"/>
            <w:shd w:val="clear" w:color="000000" w:fill="FFFFFF"/>
            <w:noWrap/>
            <w:vAlign w:val="center"/>
            <w:hideMark/>
          </w:tcPr>
          <w:p w14:paraId="25B4E0C8"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Equipo e Instrumental Médico y de Laboratorio</w:t>
            </w:r>
          </w:p>
        </w:tc>
        <w:tc>
          <w:tcPr>
            <w:tcW w:w="2248" w:type="dxa"/>
            <w:shd w:val="clear" w:color="000000" w:fill="FFFFFF"/>
            <w:noWrap/>
            <w:vAlign w:val="center"/>
            <w:hideMark/>
          </w:tcPr>
          <w:p w14:paraId="27200E9B"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18,526,065</w:t>
            </w:r>
          </w:p>
        </w:tc>
        <w:tc>
          <w:tcPr>
            <w:tcW w:w="2231" w:type="dxa"/>
            <w:shd w:val="clear" w:color="000000" w:fill="FFFFFF"/>
            <w:noWrap/>
            <w:vAlign w:val="center"/>
            <w:hideMark/>
          </w:tcPr>
          <w:p w14:paraId="13DD21C2"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18,300,950</w:t>
            </w:r>
          </w:p>
        </w:tc>
      </w:tr>
      <w:tr w:rsidR="00D05661" w:rsidRPr="00726BD5" w14:paraId="4B269CAA" w14:textId="77777777" w:rsidTr="00C33ACA">
        <w:trPr>
          <w:trHeight w:val="284"/>
        </w:trPr>
        <w:tc>
          <w:tcPr>
            <w:tcW w:w="4515" w:type="dxa"/>
            <w:shd w:val="clear" w:color="000000" w:fill="FFFFFF"/>
            <w:noWrap/>
            <w:vAlign w:val="center"/>
            <w:hideMark/>
          </w:tcPr>
          <w:p w14:paraId="28245EF5"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Vehículos y Equipo de Transporte</w:t>
            </w:r>
          </w:p>
        </w:tc>
        <w:tc>
          <w:tcPr>
            <w:tcW w:w="2248" w:type="dxa"/>
            <w:shd w:val="clear" w:color="000000" w:fill="FFFFFF"/>
            <w:noWrap/>
            <w:vAlign w:val="center"/>
            <w:hideMark/>
          </w:tcPr>
          <w:p w14:paraId="165BA7A3"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1,133,325,944</w:t>
            </w:r>
          </w:p>
        </w:tc>
        <w:tc>
          <w:tcPr>
            <w:tcW w:w="2231" w:type="dxa"/>
            <w:shd w:val="clear" w:color="000000" w:fill="FFFFFF"/>
            <w:noWrap/>
            <w:vAlign w:val="center"/>
            <w:hideMark/>
          </w:tcPr>
          <w:p w14:paraId="553AC865"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1,018,236,717</w:t>
            </w:r>
          </w:p>
        </w:tc>
      </w:tr>
      <w:tr w:rsidR="00D05661" w:rsidRPr="00726BD5" w14:paraId="641B03FC" w14:textId="77777777" w:rsidTr="00C33ACA">
        <w:trPr>
          <w:trHeight w:val="284"/>
        </w:trPr>
        <w:tc>
          <w:tcPr>
            <w:tcW w:w="4515" w:type="dxa"/>
            <w:shd w:val="clear" w:color="000000" w:fill="FFFFFF"/>
            <w:noWrap/>
            <w:vAlign w:val="center"/>
            <w:hideMark/>
          </w:tcPr>
          <w:p w14:paraId="2354F4A9"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Equipo de Defensa y Seguridad</w:t>
            </w:r>
          </w:p>
        </w:tc>
        <w:tc>
          <w:tcPr>
            <w:tcW w:w="2248" w:type="dxa"/>
            <w:shd w:val="clear" w:color="000000" w:fill="FFFFFF"/>
            <w:noWrap/>
            <w:vAlign w:val="center"/>
            <w:hideMark/>
          </w:tcPr>
          <w:p w14:paraId="0D3AB524"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259,780,536</w:t>
            </w:r>
          </w:p>
        </w:tc>
        <w:tc>
          <w:tcPr>
            <w:tcW w:w="2231" w:type="dxa"/>
            <w:shd w:val="clear" w:color="000000" w:fill="FFFFFF"/>
            <w:noWrap/>
            <w:vAlign w:val="center"/>
            <w:hideMark/>
          </w:tcPr>
          <w:p w14:paraId="2043CCF8"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238,981,083</w:t>
            </w:r>
          </w:p>
        </w:tc>
      </w:tr>
      <w:tr w:rsidR="00D05661" w:rsidRPr="00726BD5" w14:paraId="7958BD2E" w14:textId="77777777" w:rsidTr="00C33ACA">
        <w:trPr>
          <w:trHeight w:val="284"/>
        </w:trPr>
        <w:tc>
          <w:tcPr>
            <w:tcW w:w="4515" w:type="dxa"/>
            <w:shd w:val="clear" w:color="000000" w:fill="FFFFFF"/>
            <w:noWrap/>
            <w:vAlign w:val="center"/>
            <w:hideMark/>
          </w:tcPr>
          <w:p w14:paraId="7B74B5BB"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Maquinaria, Otros Equipos y Herramientas</w:t>
            </w:r>
          </w:p>
        </w:tc>
        <w:tc>
          <w:tcPr>
            <w:tcW w:w="2248" w:type="dxa"/>
            <w:shd w:val="clear" w:color="000000" w:fill="FFFFFF"/>
            <w:noWrap/>
            <w:vAlign w:val="center"/>
            <w:hideMark/>
          </w:tcPr>
          <w:p w14:paraId="476CC94F"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395,986,959</w:t>
            </w:r>
          </w:p>
        </w:tc>
        <w:tc>
          <w:tcPr>
            <w:tcW w:w="2231" w:type="dxa"/>
            <w:shd w:val="clear" w:color="000000" w:fill="FFFFFF"/>
            <w:noWrap/>
            <w:vAlign w:val="center"/>
            <w:hideMark/>
          </w:tcPr>
          <w:p w14:paraId="3373B7A3"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384,063,299</w:t>
            </w:r>
          </w:p>
        </w:tc>
      </w:tr>
      <w:tr w:rsidR="00D05661" w:rsidRPr="00726BD5" w14:paraId="400E1909" w14:textId="77777777" w:rsidTr="00C33ACA">
        <w:trPr>
          <w:trHeight w:val="284"/>
        </w:trPr>
        <w:tc>
          <w:tcPr>
            <w:tcW w:w="4515" w:type="dxa"/>
            <w:shd w:val="clear" w:color="000000" w:fill="FFFFFF"/>
            <w:noWrap/>
            <w:vAlign w:val="center"/>
            <w:hideMark/>
          </w:tcPr>
          <w:p w14:paraId="5C5E8D2A"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Colecciones, Obras de Arte y Objetos Valiosos</w:t>
            </w:r>
          </w:p>
        </w:tc>
        <w:tc>
          <w:tcPr>
            <w:tcW w:w="2248" w:type="dxa"/>
            <w:shd w:val="clear" w:color="000000" w:fill="FFFFFF"/>
            <w:noWrap/>
            <w:vAlign w:val="center"/>
            <w:hideMark/>
          </w:tcPr>
          <w:p w14:paraId="325A5D0D"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56,553,973</w:t>
            </w:r>
          </w:p>
        </w:tc>
        <w:tc>
          <w:tcPr>
            <w:tcW w:w="2231" w:type="dxa"/>
            <w:shd w:val="clear" w:color="000000" w:fill="FFFFFF"/>
            <w:noWrap/>
            <w:vAlign w:val="center"/>
            <w:hideMark/>
          </w:tcPr>
          <w:p w14:paraId="4FB07890"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56,563,973</w:t>
            </w:r>
          </w:p>
        </w:tc>
      </w:tr>
      <w:tr w:rsidR="00D05661" w:rsidRPr="00726BD5" w14:paraId="16F7E666" w14:textId="77777777" w:rsidTr="00C33ACA">
        <w:trPr>
          <w:trHeight w:val="299"/>
        </w:trPr>
        <w:tc>
          <w:tcPr>
            <w:tcW w:w="4515" w:type="dxa"/>
            <w:shd w:val="clear" w:color="000000" w:fill="FFFFFF"/>
            <w:noWrap/>
            <w:vAlign w:val="center"/>
            <w:hideMark/>
          </w:tcPr>
          <w:p w14:paraId="77E3373F"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Activos Biológicos</w:t>
            </w:r>
          </w:p>
        </w:tc>
        <w:tc>
          <w:tcPr>
            <w:tcW w:w="2248" w:type="dxa"/>
            <w:shd w:val="clear" w:color="000000" w:fill="FFFFFF"/>
            <w:noWrap/>
            <w:vAlign w:val="center"/>
            <w:hideMark/>
          </w:tcPr>
          <w:p w14:paraId="62CB68F1"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0</w:t>
            </w:r>
          </w:p>
        </w:tc>
        <w:tc>
          <w:tcPr>
            <w:tcW w:w="2231" w:type="dxa"/>
            <w:shd w:val="clear" w:color="000000" w:fill="FFFFFF"/>
            <w:noWrap/>
            <w:vAlign w:val="center"/>
            <w:hideMark/>
          </w:tcPr>
          <w:p w14:paraId="3085C589"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184,000</w:t>
            </w:r>
          </w:p>
        </w:tc>
      </w:tr>
      <w:tr w:rsidR="00D05661" w:rsidRPr="00726BD5" w14:paraId="2C7502EA" w14:textId="77777777" w:rsidTr="00C33ACA">
        <w:trPr>
          <w:trHeight w:val="314"/>
        </w:trPr>
        <w:tc>
          <w:tcPr>
            <w:tcW w:w="4515" w:type="dxa"/>
            <w:shd w:val="clear" w:color="000000" w:fill="FFFFFF"/>
            <w:noWrap/>
            <w:vAlign w:val="center"/>
            <w:hideMark/>
          </w:tcPr>
          <w:p w14:paraId="3F4E916D" w14:textId="686120F0" w:rsidR="00D05661" w:rsidRPr="00726BD5" w:rsidRDefault="00C33ACA" w:rsidP="00C33ACA">
            <w:pPr>
              <w:rPr>
                <w:rFonts w:ascii="Montserrat" w:eastAsia="Times New Roman" w:hAnsi="Montserrat" w:cs="Arial"/>
                <w:b/>
                <w:bCs/>
                <w:color w:val="000000"/>
                <w:lang w:val="es-MX"/>
              </w:rPr>
            </w:pPr>
            <w:r>
              <w:rPr>
                <w:rFonts w:ascii="Montserrat" w:eastAsia="Times New Roman" w:hAnsi="Montserrat" w:cs="Arial"/>
                <w:b/>
                <w:bCs/>
                <w:color w:val="000000"/>
                <w:lang w:val="es-MX"/>
              </w:rPr>
              <w:t xml:space="preserve">Total de </w:t>
            </w:r>
            <w:r w:rsidRPr="00726BD5">
              <w:rPr>
                <w:rFonts w:ascii="Montserrat" w:hAnsi="Montserrat"/>
                <w:b/>
              </w:rPr>
              <w:t>Bienes Muebles</w:t>
            </w:r>
          </w:p>
        </w:tc>
        <w:tc>
          <w:tcPr>
            <w:tcW w:w="2248" w:type="dxa"/>
            <w:shd w:val="clear" w:color="000000" w:fill="FFFFFF"/>
            <w:vAlign w:val="center"/>
            <w:hideMark/>
          </w:tcPr>
          <w:p w14:paraId="442DC92E"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2,640,816,758</w:t>
            </w:r>
          </w:p>
        </w:tc>
        <w:tc>
          <w:tcPr>
            <w:tcW w:w="2231" w:type="dxa"/>
            <w:shd w:val="clear" w:color="000000" w:fill="FFFFFF"/>
            <w:vAlign w:val="center"/>
            <w:hideMark/>
          </w:tcPr>
          <w:p w14:paraId="2B8BC799"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2,448,333,928</w:t>
            </w:r>
          </w:p>
        </w:tc>
      </w:tr>
    </w:tbl>
    <w:p w14:paraId="1FFD85AE" w14:textId="77777777" w:rsidR="00D05661" w:rsidRPr="00726BD5" w:rsidRDefault="00D05661" w:rsidP="00D05661">
      <w:pPr>
        <w:jc w:val="both"/>
        <w:rPr>
          <w:rFonts w:ascii="Montserrat" w:hAnsi="Montserrat"/>
          <w:b/>
        </w:rPr>
      </w:pPr>
    </w:p>
    <w:p w14:paraId="5BFE204D" w14:textId="55011623" w:rsidR="00D05661" w:rsidRPr="00726BD5" w:rsidRDefault="00D05661" w:rsidP="00D05661">
      <w:pPr>
        <w:jc w:val="both"/>
        <w:rPr>
          <w:rFonts w:ascii="Montserrat" w:hAnsi="Montserrat"/>
          <w:b/>
        </w:rPr>
      </w:pPr>
      <w:r w:rsidRPr="00726BD5">
        <w:rPr>
          <w:rFonts w:ascii="Montserrat" w:hAnsi="Montserrat"/>
          <w:b/>
        </w:rPr>
        <w:t>Activos Intangibles.</w:t>
      </w:r>
    </w:p>
    <w:p w14:paraId="3F2A1DBD" w14:textId="77777777" w:rsidR="00D05661" w:rsidRPr="00726BD5" w:rsidRDefault="00D05661" w:rsidP="00D05661">
      <w:pPr>
        <w:jc w:val="both"/>
        <w:rPr>
          <w:rFonts w:ascii="Montserrat" w:hAnsi="Montserrat"/>
          <w:b/>
        </w:rPr>
      </w:pPr>
    </w:p>
    <w:p w14:paraId="4DC3A77D" w14:textId="77777777" w:rsidR="00D05661" w:rsidRPr="00726BD5" w:rsidRDefault="00D05661" w:rsidP="00D05661">
      <w:pPr>
        <w:pBdr>
          <w:top w:val="nil"/>
          <w:left w:val="nil"/>
          <w:bottom w:val="nil"/>
          <w:right w:val="nil"/>
          <w:between w:val="nil"/>
        </w:pBdr>
        <w:jc w:val="both"/>
        <w:rPr>
          <w:rFonts w:ascii="Montserrat" w:hAnsi="Montserrat"/>
        </w:rPr>
      </w:pPr>
      <w:r w:rsidRPr="00726BD5">
        <w:rPr>
          <w:rFonts w:ascii="Montserrat" w:hAnsi="Montserrat"/>
        </w:rPr>
        <w:t>El saldo de este rubro representa el valor de los bienes intangibles propiedad del Poder Ejecutivo por concepto de software y licencias por el uso de los derechos.</w:t>
      </w:r>
    </w:p>
    <w:p w14:paraId="65FD395B" w14:textId="77777777" w:rsidR="00D05661" w:rsidRPr="00726BD5" w:rsidRDefault="00D05661" w:rsidP="00D05661">
      <w:pPr>
        <w:pBdr>
          <w:top w:val="nil"/>
          <w:left w:val="nil"/>
          <w:bottom w:val="nil"/>
          <w:right w:val="nil"/>
          <w:between w:val="nil"/>
        </w:pBdr>
        <w:jc w:val="both"/>
        <w:rPr>
          <w:rFonts w:ascii="Montserrat" w:hAnsi="Montserrat"/>
        </w:rPr>
      </w:pPr>
    </w:p>
    <w:p w14:paraId="3E8E34D2" w14:textId="77777777" w:rsidR="00D05661" w:rsidRPr="00726BD5" w:rsidRDefault="00D05661" w:rsidP="00D05661">
      <w:pPr>
        <w:pBdr>
          <w:top w:val="nil"/>
          <w:left w:val="nil"/>
          <w:bottom w:val="nil"/>
          <w:right w:val="nil"/>
          <w:between w:val="nil"/>
        </w:pBdr>
        <w:jc w:val="both"/>
        <w:rPr>
          <w:rFonts w:ascii="Montserrat" w:hAnsi="Montserrat"/>
        </w:rPr>
      </w:pPr>
      <w:r w:rsidRPr="00726BD5">
        <w:rPr>
          <w:rFonts w:ascii="Montserrat" w:hAnsi="Montserrat"/>
        </w:rPr>
        <w:t>El saldo de estos activos se integra al cierre del periodo enero-junio de 2025 y 2024, de:</w:t>
      </w:r>
    </w:p>
    <w:p w14:paraId="708D312E" w14:textId="77777777" w:rsidR="00D05661" w:rsidRPr="00726BD5" w:rsidRDefault="00D05661" w:rsidP="00D05661">
      <w:pPr>
        <w:pBdr>
          <w:top w:val="nil"/>
          <w:left w:val="nil"/>
          <w:bottom w:val="nil"/>
          <w:right w:val="nil"/>
          <w:between w:val="nil"/>
        </w:pBdr>
        <w:jc w:val="center"/>
        <w:rPr>
          <w:rFonts w:ascii="Montserrat" w:hAnsi="Montserrat"/>
          <w:b/>
        </w:rPr>
      </w:pPr>
      <w:r w:rsidRPr="00726BD5">
        <w:rPr>
          <w:rFonts w:ascii="Montserrat" w:hAnsi="Montserrat"/>
          <w:b/>
        </w:rPr>
        <w:t>(Pesos)</w:t>
      </w:r>
    </w:p>
    <w:tbl>
      <w:tblPr>
        <w:tblW w:w="8963"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99"/>
        <w:gridCol w:w="2241"/>
        <w:gridCol w:w="2223"/>
      </w:tblGrid>
      <w:tr w:rsidR="00D05661" w:rsidRPr="00726BD5" w14:paraId="0B902029" w14:textId="77777777" w:rsidTr="00C33ACA">
        <w:trPr>
          <w:trHeight w:val="309"/>
        </w:trPr>
        <w:tc>
          <w:tcPr>
            <w:tcW w:w="4499" w:type="dxa"/>
            <w:shd w:val="clear" w:color="auto" w:fill="D9D9D9" w:themeFill="background1" w:themeFillShade="D9"/>
            <w:vAlign w:val="center"/>
            <w:hideMark/>
          </w:tcPr>
          <w:p w14:paraId="73A4AA31"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41" w:type="dxa"/>
            <w:shd w:val="clear" w:color="auto" w:fill="D9D9D9" w:themeFill="background1" w:themeFillShade="D9"/>
            <w:vAlign w:val="center"/>
            <w:hideMark/>
          </w:tcPr>
          <w:p w14:paraId="0F221D01"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23" w:type="dxa"/>
            <w:shd w:val="clear" w:color="auto" w:fill="D9D9D9" w:themeFill="background1" w:themeFillShade="D9"/>
            <w:vAlign w:val="center"/>
            <w:hideMark/>
          </w:tcPr>
          <w:p w14:paraId="2ABF64F0"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D05661" w:rsidRPr="00726BD5" w14:paraId="2D71AB6E" w14:textId="77777777" w:rsidTr="00C33ACA">
        <w:trPr>
          <w:trHeight w:val="280"/>
        </w:trPr>
        <w:tc>
          <w:tcPr>
            <w:tcW w:w="4499" w:type="dxa"/>
            <w:shd w:val="clear" w:color="000000" w:fill="FFFFFF"/>
            <w:noWrap/>
            <w:vAlign w:val="center"/>
            <w:hideMark/>
          </w:tcPr>
          <w:p w14:paraId="332E779F"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Software</w:t>
            </w:r>
          </w:p>
        </w:tc>
        <w:tc>
          <w:tcPr>
            <w:tcW w:w="2241" w:type="dxa"/>
            <w:shd w:val="clear" w:color="000000" w:fill="FFFFFF"/>
            <w:vAlign w:val="center"/>
            <w:hideMark/>
          </w:tcPr>
          <w:p w14:paraId="18AFE77B"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218,516,685</w:t>
            </w:r>
          </w:p>
        </w:tc>
        <w:tc>
          <w:tcPr>
            <w:tcW w:w="2223" w:type="dxa"/>
            <w:shd w:val="clear" w:color="000000" w:fill="FFFFFF"/>
            <w:vAlign w:val="center"/>
            <w:hideMark/>
          </w:tcPr>
          <w:p w14:paraId="2F500F8F"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166,980,027</w:t>
            </w:r>
          </w:p>
        </w:tc>
      </w:tr>
      <w:tr w:rsidR="00D05661" w:rsidRPr="00726BD5" w14:paraId="5BC89D0B" w14:textId="77777777" w:rsidTr="00C33ACA">
        <w:trPr>
          <w:trHeight w:val="280"/>
        </w:trPr>
        <w:tc>
          <w:tcPr>
            <w:tcW w:w="4499" w:type="dxa"/>
            <w:shd w:val="clear" w:color="000000" w:fill="FFFFFF"/>
            <w:noWrap/>
            <w:vAlign w:val="center"/>
            <w:hideMark/>
          </w:tcPr>
          <w:p w14:paraId="7CCA6390"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Patentes, Marcas Y Derechos</w:t>
            </w:r>
          </w:p>
        </w:tc>
        <w:tc>
          <w:tcPr>
            <w:tcW w:w="2241" w:type="dxa"/>
            <w:shd w:val="clear" w:color="000000" w:fill="FFFFFF"/>
            <w:vAlign w:val="center"/>
            <w:hideMark/>
          </w:tcPr>
          <w:p w14:paraId="7B5A8BE3"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1,432,933</w:t>
            </w:r>
          </w:p>
        </w:tc>
        <w:tc>
          <w:tcPr>
            <w:tcW w:w="2223" w:type="dxa"/>
            <w:shd w:val="clear" w:color="000000" w:fill="FFFFFF"/>
            <w:vAlign w:val="center"/>
            <w:hideMark/>
          </w:tcPr>
          <w:p w14:paraId="5BB577FA"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1,432,933</w:t>
            </w:r>
          </w:p>
        </w:tc>
      </w:tr>
      <w:tr w:rsidR="00D05661" w:rsidRPr="00726BD5" w14:paraId="62A28047" w14:textId="77777777" w:rsidTr="00C33ACA">
        <w:trPr>
          <w:trHeight w:val="294"/>
        </w:trPr>
        <w:tc>
          <w:tcPr>
            <w:tcW w:w="4499" w:type="dxa"/>
            <w:shd w:val="clear" w:color="000000" w:fill="FFFFFF"/>
            <w:noWrap/>
            <w:vAlign w:val="center"/>
            <w:hideMark/>
          </w:tcPr>
          <w:p w14:paraId="3A3D8610"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Licencias</w:t>
            </w:r>
          </w:p>
        </w:tc>
        <w:tc>
          <w:tcPr>
            <w:tcW w:w="2241" w:type="dxa"/>
            <w:shd w:val="clear" w:color="000000" w:fill="FFFFFF"/>
            <w:vAlign w:val="center"/>
            <w:hideMark/>
          </w:tcPr>
          <w:p w14:paraId="654CF032"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87,863,481</w:t>
            </w:r>
          </w:p>
        </w:tc>
        <w:tc>
          <w:tcPr>
            <w:tcW w:w="2223" w:type="dxa"/>
            <w:shd w:val="clear" w:color="000000" w:fill="FFFFFF"/>
            <w:vAlign w:val="center"/>
            <w:hideMark/>
          </w:tcPr>
          <w:p w14:paraId="53A7ACF1"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47,641,991</w:t>
            </w:r>
          </w:p>
        </w:tc>
      </w:tr>
      <w:tr w:rsidR="00D05661" w:rsidRPr="00726BD5" w14:paraId="75F272CD" w14:textId="77777777" w:rsidTr="00C33ACA">
        <w:trPr>
          <w:trHeight w:val="309"/>
        </w:trPr>
        <w:tc>
          <w:tcPr>
            <w:tcW w:w="4499" w:type="dxa"/>
            <w:shd w:val="clear" w:color="000000" w:fill="FFFFFF"/>
            <w:noWrap/>
            <w:vAlign w:val="center"/>
            <w:hideMark/>
          </w:tcPr>
          <w:p w14:paraId="0F1FFEC2" w14:textId="3CB51585" w:rsidR="00D05661" w:rsidRPr="00726BD5" w:rsidRDefault="00C33ACA" w:rsidP="00C33ACA">
            <w:pPr>
              <w:rPr>
                <w:rFonts w:ascii="Montserrat" w:eastAsia="Times New Roman" w:hAnsi="Montserrat" w:cs="Arial"/>
                <w:b/>
                <w:bCs/>
                <w:color w:val="000000"/>
                <w:lang w:val="es-MX"/>
              </w:rPr>
            </w:pPr>
            <w:r>
              <w:rPr>
                <w:rFonts w:ascii="Montserrat" w:eastAsia="Times New Roman" w:hAnsi="Montserrat" w:cs="Arial"/>
                <w:b/>
                <w:bCs/>
                <w:color w:val="000000"/>
                <w:lang w:val="es-MX"/>
              </w:rPr>
              <w:t xml:space="preserve">Total de </w:t>
            </w:r>
            <w:r>
              <w:rPr>
                <w:rFonts w:ascii="Montserrat" w:hAnsi="Montserrat"/>
                <w:b/>
              </w:rPr>
              <w:t>Activos</w:t>
            </w:r>
            <w:r w:rsidRPr="00726BD5">
              <w:rPr>
                <w:rFonts w:ascii="Montserrat" w:hAnsi="Montserrat"/>
                <w:b/>
              </w:rPr>
              <w:t xml:space="preserve"> Intangibles</w:t>
            </w:r>
          </w:p>
        </w:tc>
        <w:tc>
          <w:tcPr>
            <w:tcW w:w="2241" w:type="dxa"/>
            <w:shd w:val="clear" w:color="000000" w:fill="FFFFFF"/>
            <w:noWrap/>
            <w:vAlign w:val="center"/>
            <w:hideMark/>
          </w:tcPr>
          <w:p w14:paraId="597D1F95"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307,813,099</w:t>
            </w:r>
          </w:p>
        </w:tc>
        <w:tc>
          <w:tcPr>
            <w:tcW w:w="2223" w:type="dxa"/>
            <w:shd w:val="clear" w:color="000000" w:fill="FFFFFF"/>
            <w:noWrap/>
            <w:vAlign w:val="center"/>
            <w:hideMark/>
          </w:tcPr>
          <w:p w14:paraId="30317F6E"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216,054,950</w:t>
            </w:r>
          </w:p>
        </w:tc>
      </w:tr>
    </w:tbl>
    <w:p w14:paraId="712B2C7D" w14:textId="77777777" w:rsidR="00D05661" w:rsidRPr="00726BD5" w:rsidRDefault="00D05661" w:rsidP="00D05661">
      <w:pPr>
        <w:rPr>
          <w:rFonts w:ascii="Montserrat" w:hAnsi="Montserrat"/>
          <w:b/>
        </w:rPr>
      </w:pPr>
    </w:p>
    <w:p w14:paraId="376D6F33" w14:textId="77777777" w:rsidR="00D05661" w:rsidRPr="00726BD5" w:rsidRDefault="00D05661" w:rsidP="00D05661">
      <w:pPr>
        <w:rPr>
          <w:rFonts w:ascii="Montserrat" w:hAnsi="Montserrat"/>
          <w:b/>
        </w:rPr>
      </w:pPr>
      <w:bookmarkStart w:id="16" w:name="_Hlk157391051"/>
    </w:p>
    <w:p w14:paraId="7C4FCF31" w14:textId="77777777" w:rsidR="00D05661" w:rsidRPr="00726BD5" w:rsidRDefault="00D05661" w:rsidP="00D05661">
      <w:pPr>
        <w:rPr>
          <w:rFonts w:ascii="Montserrat" w:hAnsi="Montserrat"/>
          <w:b/>
        </w:rPr>
      </w:pPr>
      <w:r w:rsidRPr="00726BD5">
        <w:rPr>
          <w:rFonts w:ascii="Montserrat" w:hAnsi="Montserrat"/>
          <w:b/>
        </w:rPr>
        <w:t>Nota 10.- Estimaciones y Deterioros</w:t>
      </w:r>
    </w:p>
    <w:p w14:paraId="1CCC7893" w14:textId="77777777" w:rsidR="00D05661" w:rsidRPr="00726BD5" w:rsidRDefault="00D05661" w:rsidP="00D05661">
      <w:pPr>
        <w:rPr>
          <w:rFonts w:ascii="Montserrat" w:hAnsi="Montserrat"/>
          <w:b/>
        </w:rPr>
      </w:pPr>
    </w:p>
    <w:p w14:paraId="6B3A56EC" w14:textId="77777777" w:rsidR="00D05661" w:rsidRPr="00726BD5" w:rsidRDefault="00D05661" w:rsidP="00D05661">
      <w:pPr>
        <w:pBdr>
          <w:top w:val="nil"/>
          <w:left w:val="nil"/>
          <w:bottom w:val="nil"/>
          <w:right w:val="nil"/>
          <w:between w:val="nil"/>
        </w:pBdr>
        <w:jc w:val="both"/>
        <w:rPr>
          <w:rFonts w:ascii="Montserrat" w:hAnsi="Montserrat"/>
          <w:color w:val="000000"/>
        </w:rPr>
      </w:pPr>
      <w:r w:rsidRPr="00726BD5">
        <w:rPr>
          <w:rFonts w:ascii="Montserrat" w:hAnsi="Montserrat"/>
          <w:color w:val="000000"/>
        </w:rPr>
        <w:t xml:space="preserve">El saldo de este rubro representa el valor de depreciación y amortización acumulada de los bienes muebles e intangibles propiedad de </w:t>
      </w:r>
      <w:r w:rsidRPr="00726BD5">
        <w:rPr>
          <w:rFonts w:ascii="Montserrat" w:hAnsi="Montserrat"/>
        </w:rPr>
        <w:t>las dependencias del Poder Ejecutivo</w:t>
      </w:r>
      <w:r w:rsidRPr="00726BD5">
        <w:rPr>
          <w:rFonts w:ascii="Montserrat" w:hAnsi="Montserrat"/>
          <w:color w:val="000000"/>
        </w:rPr>
        <w:t>.</w:t>
      </w:r>
    </w:p>
    <w:p w14:paraId="38258C6D" w14:textId="77777777" w:rsidR="00D05661" w:rsidRPr="00726BD5" w:rsidRDefault="00D05661" w:rsidP="00D05661">
      <w:pPr>
        <w:pBdr>
          <w:top w:val="nil"/>
          <w:left w:val="nil"/>
          <w:bottom w:val="nil"/>
          <w:right w:val="nil"/>
          <w:between w:val="nil"/>
        </w:pBdr>
        <w:jc w:val="both"/>
        <w:rPr>
          <w:rFonts w:ascii="Montserrat" w:hAnsi="Montserrat"/>
          <w:color w:val="000000"/>
        </w:rPr>
      </w:pPr>
    </w:p>
    <w:p w14:paraId="138912A2" w14:textId="77777777" w:rsidR="00D05661" w:rsidRPr="00726BD5" w:rsidRDefault="00D05661" w:rsidP="00D05661">
      <w:pPr>
        <w:tabs>
          <w:tab w:val="left" w:pos="7260"/>
        </w:tabs>
        <w:jc w:val="both"/>
        <w:rPr>
          <w:rFonts w:ascii="Montserrat" w:eastAsia="Times New Roman" w:hAnsi="Montserrat" w:cs="Arial"/>
        </w:rPr>
      </w:pPr>
      <w:r w:rsidRPr="00726BD5">
        <w:rPr>
          <w:rFonts w:ascii="Montserrat" w:eastAsia="Times New Roman" w:hAnsi="Montserrat" w:cs="Arial"/>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0C9C8CF3" w14:textId="77777777" w:rsidR="00D05661" w:rsidRPr="00726BD5" w:rsidRDefault="00D05661" w:rsidP="00D05661">
      <w:pPr>
        <w:widowControl w:val="0"/>
        <w:jc w:val="both"/>
        <w:rPr>
          <w:rFonts w:ascii="Montserrat" w:hAnsi="Montserrat"/>
        </w:rPr>
      </w:pPr>
    </w:p>
    <w:p w14:paraId="6CD7ED50" w14:textId="77777777" w:rsidR="00D05661" w:rsidRPr="00726BD5" w:rsidRDefault="00D05661" w:rsidP="00D05661">
      <w:pPr>
        <w:pBdr>
          <w:top w:val="nil"/>
          <w:left w:val="nil"/>
          <w:bottom w:val="nil"/>
          <w:right w:val="nil"/>
          <w:between w:val="nil"/>
        </w:pBdr>
        <w:jc w:val="both"/>
        <w:rPr>
          <w:rFonts w:ascii="Montserrat" w:hAnsi="Montserrat"/>
          <w:color w:val="000000"/>
        </w:rPr>
      </w:pPr>
      <w:r w:rsidRPr="00726BD5">
        <w:rPr>
          <w:rFonts w:ascii="Montserrat" w:hAnsi="Montserrat"/>
          <w:color w:val="000000"/>
        </w:rPr>
        <w:t>Los saldos de la cuenta de este rubro Al 30 de junio de 2025 y 2024, asciende a:</w:t>
      </w:r>
    </w:p>
    <w:p w14:paraId="32B80841" w14:textId="77777777" w:rsidR="00D05661" w:rsidRPr="00726BD5" w:rsidRDefault="00D05661" w:rsidP="00D05661">
      <w:pPr>
        <w:pBdr>
          <w:top w:val="nil"/>
          <w:left w:val="nil"/>
          <w:bottom w:val="nil"/>
          <w:right w:val="nil"/>
          <w:between w:val="nil"/>
        </w:pBdr>
        <w:jc w:val="both"/>
        <w:rPr>
          <w:rFonts w:ascii="Montserrat" w:hAnsi="Montserrat"/>
          <w:color w:val="000000"/>
        </w:rPr>
      </w:pPr>
    </w:p>
    <w:p w14:paraId="5921788F" w14:textId="77777777" w:rsidR="00D05661" w:rsidRPr="00726BD5" w:rsidRDefault="00D05661" w:rsidP="00D05661">
      <w:pPr>
        <w:pBdr>
          <w:top w:val="nil"/>
          <w:left w:val="nil"/>
          <w:bottom w:val="nil"/>
          <w:right w:val="nil"/>
          <w:between w:val="nil"/>
        </w:pBdr>
        <w:jc w:val="center"/>
        <w:rPr>
          <w:rFonts w:ascii="Montserrat" w:hAnsi="Montserrat"/>
          <w:b/>
          <w:color w:val="000000"/>
        </w:rPr>
      </w:pPr>
      <w:r w:rsidRPr="00726BD5">
        <w:rPr>
          <w:rFonts w:ascii="Montserrat" w:hAnsi="Montserrat"/>
          <w:b/>
          <w:color w:val="000000"/>
        </w:rPr>
        <w:t>(Pesos)</w:t>
      </w:r>
    </w:p>
    <w:tbl>
      <w:tblPr>
        <w:tblW w:w="9084" w:type="dxa"/>
        <w:tblInd w:w="55" w:type="dxa"/>
        <w:tblCellMar>
          <w:left w:w="70" w:type="dxa"/>
          <w:right w:w="70" w:type="dxa"/>
        </w:tblCellMar>
        <w:tblLook w:val="04A0" w:firstRow="1" w:lastRow="0" w:firstColumn="1" w:lastColumn="0" w:noHBand="0" w:noVBand="1"/>
      </w:tblPr>
      <w:tblGrid>
        <w:gridCol w:w="4560"/>
        <w:gridCol w:w="2271"/>
        <w:gridCol w:w="2253"/>
      </w:tblGrid>
      <w:tr w:rsidR="00D05661" w:rsidRPr="00726BD5" w14:paraId="05AA8254" w14:textId="77777777" w:rsidTr="005D0CB2">
        <w:trPr>
          <w:trHeight w:val="313"/>
        </w:trPr>
        <w:tc>
          <w:tcPr>
            <w:tcW w:w="45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741AE2B5"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71"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46783503"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53"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0C96864A"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D05661" w:rsidRPr="00726BD5" w14:paraId="220339A1" w14:textId="77777777" w:rsidTr="00BE0300">
        <w:trPr>
          <w:trHeight w:val="642"/>
        </w:trPr>
        <w:tc>
          <w:tcPr>
            <w:tcW w:w="4560" w:type="dxa"/>
            <w:tcBorders>
              <w:top w:val="nil"/>
              <w:left w:val="single" w:sz="8" w:space="0" w:color="000000"/>
              <w:bottom w:val="single" w:sz="8" w:space="0" w:color="auto"/>
              <w:right w:val="single" w:sz="8" w:space="0" w:color="000000"/>
            </w:tcBorders>
            <w:shd w:val="clear" w:color="000000" w:fill="FFFFFF"/>
            <w:vAlign w:val="center"/>
            <w:hideMark/>
          </w:tcPr>
          <w:p w14:paraId="795681E4" w14:textId="77777777" w:rsidR="00D05661" w:rsidRPr="00726BD5" w:rsidRDefault="00D05661" w:rsidP="00BE0300">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Depreciación, Deterioro y Amortización Acumulada de Bienes</w:t>
            </w:r>
          </w:p>
        </w:tc>
        <w:tc>
          <w:tcPr>
            <w:tcW w:w="2271" w:type="dxa"/>
            <w:tcBorders>
              <w:top w:val="nil"/>
              <w:left w:val="nil"/>
              <w:bottom w:val="single" w:sz="8" w:space="0" w:color="auto"/>
              <w:right w:val="single" w:sz="8" w:space="0" w:color="000000"/>
            </w:tcBorders>
            <w:shd w:val="clear" w:color="000000" w:fill="FFFFFF"/>
            <w:vAlign w:val="center"/>
            <w:hideMark/>
          </w:tcPr>
          <w:p w14:paraId="06C1FC92"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-1,972,165,473</w:t>
            </w:r>
          </w:p>
        </w:tc>
        <w:tc>
          <w:tcPr>
            <w:tcW w:w="2253" w:type="dxa"/>
            <w:tcBorders>
              <w:top w:val="nil"/>
              <w:left w:val="nil"/>
              <w:bottom w:val="single" w:sz="8" w:space="0" w:color="auto"/>
              <w:right w:val="single" w:sz="8" w:space="0" w:color="000000"/>
            </w:tcBorders>
            <w:shd w:val="clear" w:color="000000" w:fill="FFFFFF"/>
            <w:vAlign w:val="center"/>
            <w:hideMark/>
          </w:tcPr>
          <w:p w14:paraId="5B032083"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-1,691,516,455</w:t>
            </w:r>
          </w:p>
        </w:tc>
      </w:tr>
      <w:tr w:rsidR="00D05661" w:rsidRPr="00726BD5" w14:paraId="08D9FF36" w14:textId="77777777" w:rsidTr="00BE0300">
        <w:trPr>
          <w:trHeight w:val="328"/>
        </w:trPr>
        <w:tc>
          <w:tcPr>
            <w:tcW w:w="4560" w:type="dxa"/>
            <w:tcBorders>
              <w:top w:val="nil"/>
              <w:left w:val="single" w:sz="8" w:space="0" w:color="000000"/>
              <w:bottom w:val="single" w:sz="8" w:space="0" w:color="000000"/>
              <w:right w:val="single" w:sz="8" w:space="0" w:color="000000"/>
            </w:tcBorders>
            <w:shd w:val="clear" w:color="000000" w:fill="FFFFFF"/>
            <w:vAlign w:val="center"/>
            <w:hideMark/>
          </w:tcPr>
          <w:p w14:paraId="70C68883" w14:textId="22314D6A" w:rsidR="00D05661" w:rsidRPr="00C33ACA" w:rsidRDefault="00C33ACA" w:rsidP="00C33ACA">
            <w:pPr>
              <w:rPr>
                <w:rFonts w:ascii="Montserrat" w:eastAsia="Times New Roman" w:hAnsi="Montserrat" w:cs="Times New Roman"/>
                <w:b/>
                <w:bCs/>
                <w:color w:val="000000"/>
                <w:lang w:val="es-MX"/>
              </w:rPr>
            </w:pPr>
            <w:r w:rsidRPr="00C33ACA">
              <w:rPr>
                <w:rFonts w:ascii="Montserrat" w:eastAsia="Times New Roman" w:hAnsi="Montserrat" w:cs="Times New Roman"/>
                <w:b/>
                <w:bCs/>
                <w:color w:val="000000"/>
                <w:lang w:val="es-MX"/>
              </w:rPr>
              <w:t xml:space="preserve">Total </w:t>
            </w:r>
            <w:r w:rsidRPr="00C33ACA">
              <w:rPr>
                <w:rFonts w:ascii="Montserrat" w:eastAsia="Times New Roman" w:hAnsi="Montserrat" w:cs="Times New Roman"/>
                <w:b/>
                <w:bCs/>
                <w:color w:val="000000"/>
                <w:lang w:val="es-MX"/>
              </w:rPr>
              <w:t>Depreciación, Deterioro y Amortización Acumulada de Bienes</w:t>
            </w:r>
            <w:r w:rsidRPr="00C33ACA">
              <w:rPr>
                <w:rFonts w:ascii="Montserrat" w:eastAsia="Times New Roman" w:hAnsi="Montserrat" w:cs="Times New Roman"/>
                <w:b/>
                <w:bCs/>
                <w:color w:val="000000"/>
                <w:lang w:val="es-MX"/>
              </w:rPr>
              <w:t xml:space="preserve"> </w:t>
            </w:r>
          </w:p>
        </w:tc>
        <w:tc>
          <w:tcPr>
            <w:tcW w:w="2271" w:type="dxa"/>
            <w:tcBorders>
              <w:top w:val="nil"/>
              <w:left w:val="nil"/>
              <w:bottom w:val="single" w:sz="8" w:space="0" w:color="000000"/>
              <w:right w:val="single" w:sz="8" w:space="0" w:color="000000"/>
            </w:tcBorders>
            <w:shd w:val="clear" w:color="000000" w:fill="FFFFFF"/>
            <w:vAlign w:val="center"/>
            <w:hideMark/>
          </w:tcPr>
          <w:p w14:paraId="0B6FFE2F"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-1,972,165,473</w:t>
            </w:r>
          </w:p>
        </w:tc>
        <w:tc>
          <w:tcPr>
            <w:tcW w:w="2253" w:type="dxa"/>
            <w:tcBorders>
              <w:top w:val="nil"/>
              <w:left w:val="nil"/>
              <w:bottom w:val="single" w:sz="8" w:space="0" w:color="000000"/>
              <w:right w:val="single" w:sz="8" w:space="0" w:color="000000"/>
            </w:tcBorders>
            <w:shd w:val="clear" w:color="000000" w:fill="FFFFFF"/>
            <w:vAlign w:val="center"/>
            <w:hideMark/>
          </w:tcPr>
          <w:p w14:paraId="6276F676"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-1,691,516,455</w:t>
            </w:r>
          </w:p>
        </w:tc>
      </w:tr>
    </w:tbl>
    <w:p w14:paraId="2E207523" w14:textId="77777777" w:rsidR="00D05661" w:rsidRPr="00726BD5" w:rsidRDefault="00D05661" w:rsidP="00D05661">
      <w:pPr>
        <w:rPr>
          <w:rFonts w:ascii="Montserrat" w:hAnsi="Montserrat"/>
          <w:b/>
        </w:rPr>
      </w:pPr>
    </w:p>
    <w:p w14:paraId="2E3A943C" w14:textId="77777777" w:rsidR="00D05661" w:rsidRPr="00726BD5" w:rsidRDefault="00D05661" w:rsidP="00D05661">
      <w:pPr>
        <w:rPr>
          <w:rFonts w:ascii="Montserrat" w:hAnsi="Montserrat"/>
          <w:b/>
        </w:rPr>
      </w:pPr>
      <w:r w:rsidRPr="00726BD5">
        <w:rPr>
          <w:rFonts w:ascii="Montserrat" w:hAnsi="Montserrat"/>
          <w:b/>
        </w:rPr>
        <w:t xml:space="preserve">Nota 11.- Otros Activos </w:t>
      </w:r>
    </w:p>
    <w:p w14:paraId="18559771" w14:textId="77777777" w:rsidR="00D05661" w:rsidRPr="00726BD5" w:rsidRDefault="00D05661" w:rsidP="00D05661">
      <w:pPr>
        <w:rPr>
          <w:rFonts w:ascii="Montserrat" w:hAnsi="Montserrat"/>
        </w:rPr>
      </w:pPr>
    </w:p>
    <w:p w14:paraId="269F9521" w14:textId="77777777" w:rsidR="00D05661" w:rsidRPr="00726BD5" w:rsidRDefault="00D05661" w:rsidP="00D05661">
      <w:pPr>
        <w:rPr>
          <w:rFonts w:ascii="Montserrat" w:hAnsi="Montserrat"/>
        </w:rPr>
      </w:pPr>
      <w:r w:rsidRPr="00726BD5">
        <w:rPr>
          <w:rFonts w:ascii="Montserrat" w:hAnsi="Montserrat"/>
        </w:rPr>
        <w:t>Este rubro no refleja saldo en el segundo informe trimestral del ejercicio 2025 y 2024.</w:t>
      </w:r>
    </w:p>
    <w:bookmarkEnd w:id="16"/>
    <w:p w14:paraId="5328ECFA" w14:textId="77777777" w:rsidR="00D05661" w:rsidRPr="00726BD5" w:rsidRDefault="00D05661" w:rsidP="00D05661">
      <w:pPr>
        <w:keepNext/>
        <w:keepLines/>
        <w:rPr>
          <w:rFonts w:ascii="Montserrat" w:hAnsi="Montserrat"/>
          <w:b/>
        </w:rPr>
      </w:pPr>
    </w:p>
    <w:p w14:paraId="6418126D" w14:textId="77777777" w:rsidR="00D05661" w:rsidRPr="00726BD5" w:rsidRDefault="00D05661" w:rsidP="00D05661">
      <w:pPr>
        <w:keepNext/>
        <w:keepLines/>
        <w:rPr>
          <w:rFonts w:ascii="Montserrat" w:hAnsi="Montserrat"/>
          <w:b/>
        </w:rPr>
      </w:pPr>
      <w:r w:rsidRPr="00726BD5">
        <w:rPr>
          <w:rFonts w:ascii="Montserrat" w:hAnsi="Montserrat"/>
          <w:b/>
        </w:rPr>
        <w:t xml:space="preserve">Pasivo </w:t>
      </w:r>
    </w:p>
    <w:p w14:paraId="0A87D71D" w14:textId="77777777" w:rsidR="00D05661" w:rsidRPr="00726BD5" w:rsidRDefault="00D05661" w:rsidP="00D05661">
      <w:pPr>
        <w:jc w:val="both"/>
        <w:rPr>
          <w:rFonts w:ascii="Montserrat" w:hAnsi="Montserrat"/>
        </w:rPr>
      </w:pPr>
    </w:p>
    <w:p w14:paraId="18541C26" w14:textId="77777777" w:rsidR="00D05661" w:rsidRPr="00726BD5" w:rsidRDefault="00D05661" w:rsidP="00D05661">
      <w:pPr>
        <w:jc w:val="both"/>
        <w:rPr>
          <w:rFonts w:ascii="Montserrat" w:hAnsi="Montserrat"/>
        </w:rPr>
      </w:pPr>
      <w:r w:rsidRPr="00726BD5">
        <w:rPr>
          <w:rFonts w:ascii="Montserrat" w:hAnsi="Montserrat"/>
        </w:rPr>
        <w:t>Es el conjunto de cuentas que permite el registro de las obligaciones contraídas por el Poder Ejecutivo, para el desarrollo de sus funciones y la prestación de los servicios públicos. Al cierre del periodo enero-junio de 2025,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14:paraId="6DC8A283" w14:textId="77777777" w:rsidR="00D05661" w:rsidRPr="00726BD5" w:rsidRDefault="00D05661" w:rsidP="00D05661">
      <w:pPr>
        <w:rPr>
          <w:rFonts w:ascii="Montserrat" w:hAnsi="Montserrat"/>
          <w:b/>
        </w:rPr>
      </w:pPr>
    </w:p>
    <w:p w14:paraId="478D5A6E" w14:textId="77777777" w:rsidR="00C33ACA" w:rsidRDefault="00C33ACA" w:rsidP="00D05661">
      <w:pPr>
        <w:keepNext/>
        <w:rPr>
          <w:rFonts w:ascii="Montserrat" w:hAnsi="Montserrat"/>
          <w:b/>
        </w:rPr>
      </w:pPr>
      <w:bookmarkStart w:id="17" w:name="_Hlk157391221"/>
    </w:p>
    <w:p w14:paraId="450F6B15" w14:textId="367BD454" w:rsidR="00D05661" w:rsidRPr="00726BD5" w:rsidRDefault="00D05661" w:rsidP="00D05661">
      <w:pPr>
        <w:keepNext/>
        <w:rPr>
          <w:rFonts w:ascii="Montserrat" w:hAnsi="Montserrat"/>
          <w:b/>
        </w:rPr>
      </w:pPr>
      <w:r w:rsidRPr="00726BD5">
        <w:rPr>
          <w:rFonts w:ascii="Montserrat" w:hAnsi="Montserrat"/>
          <w:b/>
        </w:rPr>
        <w:t>Nota 12.-Cuentas por Pagar a Corto Plazo.</w:t>
      </w:r>
      <w:bookmarkEnd w:id="17"/>
    </w:p>
    <w:p w14:paraId="7B8BE941" w14:textId="77777777" w:rsidR="00D05661" w:rsidRPr="00726BD5" w:rsidRDefault="00D05661" w:rsidP="00D05661">
      <w:pPr>
        <w:keepNext/>
        <w:rPr>
          <w:rFonts w:ascii="Montserrat" w:hAnsi="Montserrat"/>
          <w:b/>
        </w:rPr>
      </w:pPr>
    </w:p>
    <w:p w14:paraId="418060A5" w14:textId="77777777" w:rsidR="00D05661" w:rsidRPr="00726BD5" w:rsidRDefault="00D05661" w:rsidP="00D05661">
      <w:pPr>
        <w:pBdr>
          <w:top w:val="nil"/>
          <w:left w:val="nil"/>
          <w:bottom w:val="nil"/>
          <w:right w:val="nil"/>
          <w:between w:val="nil"/>
        </w:pBdr>
        <w:jc w:val="both"/>
        <w:rPr>
          <w:rFonts w:ascii="Montserrat" w:hAnsi="Montserrat"/>
        </w:rPr>
      </w:pPr>
      <w:r w:rsidRPr="00726BD5">
        <w:rPr>
          <w:rFonts w:ascii="Montserrat" w:hAnsi="Montserrat"/>
        </w:rPr>
        <w:t>El saldo que conforma este rubro se integra de los registros por los compromisos contraídos por los entes públicos que conforman el Poder Ejecutivo, por concepto de adquisición de bienes de consumo e inventariables y por la contratación de servicios necesarios para su operatividad. Además, por las retenciones por servicios personales: cuotas, retenciones y contribuciones a favor de terceros, pensión alimenticia, 2 por ciento sobre nóminas de prestadores de servicios, ISSS, ISR por arrendamiento de inmuebles y otros conceptos.</w:t>
      </w:r>
    </w:p>
    <w:p w14:paraId="7508617F" w14:textId="77777777" w:rsidR="00D05661" w:rsidRPr="00726BD5" w:rsidRDefault="00D05661" w:rsidP="00D05661">
      <w:pPr>
        <w:pBdr>
          <w:top w:val="nil"/>
          <w:left w:val="nil"/>
          <w:bottom w:val="nil"/>
          <w:right w:val="nil"/>
          <w:between w:val="nil"/>
        </w:pBdr>
        <w:jc w:val="both"/>
        <w:rPr>
          <w:rFonts w:ascii="Montserrat" w:hAnsi="Montserrat"/>
        </w:rPr>
      </w:pPr>
    </w:p>
    <w:p w14:paraId="5D9130E2" w14:textId="77777777" w:rsidR="00D05661" w:rsidRPr="00726BD5" w:rsidRDefault="00D05661" w:rsidP="00D05661">
      <w:pPr>
        <w:pBdr>
          <w:top w:val="nil"/>
          <w:left w:val="nil"/>
          <w:bottom w:val="nil"/>
          <w:right w:val="nil"/>
          <w:between w:val="nil"/>
        </w:pBdr>
        <w:jc w:val="both"/>
        <w:rPr>
          <w:rFonts w:ascii="Montserrat" w:hAnsi="Montserrat"/>
        </w:rPr>
      </w:pPr>
      <w:r w:rsidRPr="00726BD5">
        <w:rPr>
          <w:rFonts w:ascii="Montserrat" w:hAnsi="Montserrat"/>
        </w:rPr>
        <w:t>Los saldos de las cuentas que integran este rubro al cierre del periodo enero-junio de 2025 y 2024, se desglosan de la siguiente manera:</w:t>
      </w:r>
    </w:p>
    <w:p w14:paraId="260D2FBC" w14:textId="77777777" w:rsidR="00D05661" w:rsidRPr="00726BD5" w:rsidRDefault="00D05661" w:rsidP="00D05661">
      <w:pPr>
        <w:rPr>
          <w:rFonts w:ascii="Montserrat" w:hAnsi="Montserrat"/>
        </w:rPr>
      </w:pPr>
    </w:p>
    <w:p w14:paraId="62ED0CC5" w14:textId="77777777" w:rsidR="00D05661" w:rsidRPr="00726BD5" w:rsidRDefault="00D05661" w:rsidP="00D05661">
      <w:pPr>
        <w:pBdr>
          <w:top w:val="nil"/>
          <w:left w:val="nil"/>
          <w:bottom w:val="nil"/>
          <w:right w:val="nil"/>
          <w:between w:val="nil"/>
        </w:pBdr>
        <w:jc w:val="center"/>
        <w:rPr>
          <w:rFonts w:ascii="Montserrat" w:hAnsi="Montserrat"/>
        </w:rPr>
      </w:pPr>
      <w:r w:rsidRPr="00726BD5">
        <w:rPr>
          <w:rFonts w:ascii="Montserrat" w:hAnsi="Montserrat"/>
          <w:b/>
        </w:rPr>
        <w:t>(Pesos)</w:t>
      </w:r>
    </w:p>
    <w:tbl>
      <w:tblPr>
        <w:tblW w:w="9042"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39"/>
        <w:gridCol w:w="2260"/>
        <w:gridCol w:w="2243"/>
      </w:tblGrid>
      <w:tr w:rsidR="00D05661" w:rsidRPr="00726BD5" w14:paraId="01381964" w14:textId="77777777" w:rsidTr="00C33ACA">
        <w:trPr>
          <w:trHeight w:val="315"/>
        </w:trPr>
        <w:tc>
          <w:tcPr>
            <w:tcW w:w="4539" w:type="dxa"/>
            <w:shd w:val="clear" w:color="auto" w:fill="D9D9D9" w:themeFill="background1" w:themeFillShade="D9"/>
            <w:vAlign w:val="center"/>
            <w:hideMark/>
          </w:tcPr>
          <w:p w14:paraId="3B0FDABA"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60" w:type="dxa"/>
            <w:shd w:val="clear" w:color="auto" w:fill="D9D9D9" w:themeFill="background1" w:themeFillShade="D9"/>
            <w:vAlign w:val="center"/>
            <w:hideMark/>
          </w:tcPr>
          <w:p w14:paraId="6A46E065"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43" w:type="dxa"/>
            <w:shd w:val="clear" w:color="auto" w:fill="D9D9D9" w:themeFill="background1" w:themeFillShade="D9"/>
            <w:vAlign w:val="center"/>
            <w:hideMark/>
          </w:tcPr>
          <w:p w14:paraId="3C1B5FD4"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D05661" w:rsidRPr="00726BD5" w14:paraId="7A5FCB01" w14:textId="77777777" w:rsidTr="00C33ACA">
        <w:trPr>
          <w:trHeight w:val="285"/>
        </w:trPr>
        <w:tc>
          <w:tcPr>
            <w:tcW w:w="4539" w:type="dxa"/>
            <w:shd w:val="clear" w:color="000000" w:fill="FFFFFF"/>
            <w:noWrap/>
            <w:vAlign w:val="center"/>
            <w:hideMark/>
          </w:tcPr>
          <w:p w14:paraId="6032CED8"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Servicios Personales Por Pagar a Corto Plazo</w:t>
            </w:r>
          </w:p>
        </w:tc>
        <w:tc>
          <w:tcPr>
            <w:tcW w:w="2260" w:type="dxa"/>
            <w:shd w:val="clear" w:color="000000" w:fill="FFFFFF"/>
            <w:noWrap/>
            <w:vAlign w:val="center"/>
            <w:hideMark/>
          </w:tcPr>
          <w:p w14:paraId="1836132F"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48,445,703</w:t>
            </w:r>
          </w:p>
        </w:tc>
        <w:tc>
          <w:tcPr>
            <w:tcW w:w="2243" w:type="dxa"/>
            <w:shd w:val="clear" w:color="000000" w:fill="FFFFFF"/>
            <w:noWrap/>
            <w:vAlign w:val="center"/>
            <w:hideMark/>
          </w:tcPr>
          <w:p w14:paraId="6D8AA16D"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47,763,179</w:t>
            </w:r>
          </w:p>
        </w:tc>
      </w:tr>
      <w:tr w:rsidR="00D05661" w:rsidRPr="00726BD5" w14:paraId="4EBB1EC7" w14:textId="77777777" w:rsidTr="00C33ACA">
        <w:trPr>
          <w:trHeight w:val="285"/>
        </w:trPr>
        <w:tc>
          <w:tcPr>
            <w:tcW w:w="4539" w:type="dxa"/>
            <w:shd w:val="clear" w:color="000000" w:fill="FFFFFF"/>
            <w:noWrap/>
            <w:vAlign w:val="center"/>
            <w:hideMark/>
          </w:tcPr>
          <w:p w14:paraId="47FBE1AB"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Proveedores Por Pagar a Corto Plazo</w:t>
            </w:r>
          </w:p>
        </w:tc>
        <w:tc>
          <w:tcPr>
            <w:tcW w:w="2260" w:type="dxa"/>
            <w:shd w:val="clear" w:color="000000" w:fill="FFFFFF"/>
            <w:noWrap/>
            <w:vAlign w:val="center"/>
            <w:hideMark/>
          </w:tcPr>
          <w:p w14:paraId="250D4426"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300,052,524</w:t>
            </w:r>
          </w:p>
        </w:tc>
        <w:tc>
          <w:tcPr>
            <w:tcW w:w="2243" w:type="dxa"/>
            <w:shd w:val="clear" w:color="000000" w:fill="FFFFFF"/>
            <w:noWrap/>
            <w:vAlign w:val="center"/>
            <w:hideMark/>
          </w:tcPr>
          <w:p w14:paraId="08FC3648"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258,264,866</w:t>
            </w:r>
          </w:p>
        </w:tc>
      </w:tr>
      <w:tr w:rsidR="00D05661" w:rsidRPr="00726BD5" w14:paraId="3ADA4153" w14:textId="77777777" w:rsidTr="00C33ACA">
        <w:trPr>
          <w:trHeight w:val="570"/>
        </w:trPr>
        <w:tc>
          <w:tcPr>
            <w:tcW w:w="4539" w:type="dxa"/>
            <w:shd w:val="clear" w:color="000000" w:fill="FFFFFF"/>
            <w:vAlign w:val="center"/>
            <w:hideMark/>
          </w:tcPr>
          <w:p w14:paraId="7B98A217"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Contratistas Por Obras Públicas Por Pagar a Corto Plazo</w:t>
            </w:r>
          </w:p>
        </w:tc>
        <w:tc>
          <w:tcPr>
            <w:tcW w:w="2260" w:type="dxa"/>
            <w:shd w:val="clear" w:color="000000" w:fill="FFFFFF"/>
            <w:vAlign w:val="center"/>
            <w:hideMark/>
          </w:tcPr>
          <w:p w14:paraId="298F387B"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99,543,491</w:t>
            </w:r>
          </w:p>
        </w:tc>
        <w:tc>
          <w:tcPr>
            <w:tcW w:w="2243" w:type="dxa"/>
            <w:shd w:val="clear" w:color="000000" w:fill="FFFFFF"/>
            <w:vAlign w:val="center"/>
            <w:hideMark/>
          </w:tcPr>
          <w:p w14:paraId="76767E5A"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133,169,996</w:t>
            </w:r>
          </w:p>
        </w:tc>
      </w:tr>
      <w:tr w:rsidR="00D05661" w:rsidRPr="00726BD5" w14:paraId="58966C20" w14:textId="77777777" w:rsidTr="00C33ACA">
        <w:trPr>
          <w:trHeight w:val="570"/>
        </w:trPr>
        <w:tc>
          <w:tcPr>
            <w:tcW w:w="4539" w:type="dxa"/>
            <w:shd w:val="clear" w:color="000000" w:fill="FFFFFF"/>
            <w:vAlign w:val="center"/>
            <w:hideMark/>
          </w:tcPr>
          <w:p w14:paraId="6208E617"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Transferencias Otorgadas Por Pagar a Corto Plazo</w:t>
            </w:r>
          </w:p>
        </w:tc>
        <w:tc>
          <w:tcPr>
            <w:tcW w:w="2260" w:type="dxa"/>
            <w:shd w:val="clear" w:color="000000" w:fill="FFFFFF"/>
            <w:noWrap/>
            <w:vAlign w:val="center"/>
            <w:hideMark/>
          </w:tcPr>
          <w:p w14:paraId="0A6FF180"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73,672,525</w:t>
            </w:r>
          </w:p>
        </w:tc>
        <w:tc>
          <w:tcPr>
            <w:tcW w:w="2243" w:type="dxa"/>
            <w:shd w:val="clear" w:color="000000" w:fill="FFFFFF"/>
            <w:noWrap/>
            <w:vAlign w:val="center"/>
            <w:hideMark/>
          </w:tcPr>
          <w:p w14:paraId="0390799F"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87,199,085</w:t>
            </w:r>
          </w:p>
        </w:tc>
      </w:tr>
      <w:tr w:rsidR="00D05661" w:rsidRPr="00726BD5" w14:paraId="4C37672A" w14:textId="77777777" w:rsidTr="00C33ACA">
        <w:trPr>
          <w:trHeight w:val="570"/>
        </w:trPr>
        <w:tc>
          <w:tcPr>
            <w:tcW w:w="4539" w:type="dxa"/>
            <w:shd w:val="clear" w:color="000000" w:fill="FFFFFF"/>
            <w:vAlign w:val="center"/>
            <w:hideMark/>
          </w:tcPr>
          <w:p w14:paraId="1DBEFDA4"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Retenciones y Contribuciones Por Pagar a Corto Plazo</w:t>
            </w:r>
          </w:p>
        </w:tc>
        <w:tc>
          <w:tcPr>
            <w:tcW w:w="2260" w:type="dxa"/>
            <w:shd w:val="clear" w:color="000000" w:fill="FFFFFF"/>
            <w:noWrap/>
            <w:vAlign w:val="center"/>
            <w:hideMark/>
          </w:tcPr>
          <w:p w14:paraId="43153347"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736,637,421</w:t>
            </w:r>
          </w:p>
        </w:tc>
        <w:tc>
          <w:tcPr>
            <w:tcW w:w="2243" w:type="dxa"/>
            <w:shd w:val="clear" w:color="000000" w:fill="FFFFFF"/>
            <w:noWrap/>
            <w:vAlign w:val="center"/>
            <w:hideMark/>
          </w:tcPr>
          <w:p w14:paraId="1F5CF533"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679,350,263</w:t>
            </w:r>
          </w:p>
        </w:tc>
      </w:tr>
      <w:tr w:rsidR="00D05661" w:rsidRPr="00726BD5" w14:paraId="3BB26041" w14:textId="77777777" w:rsidTr="00C33ACA">
        <w:trPr>
          <w:trHeight w:val="300"/>
        </w:trPr>
        <w:tc>
          <w:tcPr>
            <w:tcW w:w="4539" w:type="dxa"/>
            <w:shd w:val="clear" w:color="000000" w:fill="FFFFFF"/>
            <w:vAlign w:val="center"/>
            <w:hideMark/>
          </w:tcPr>
          <w:p w14:paraId="047D9499"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Otras Cuentas Por Pagar a Corto Plazo</w:t>
            </w:r>
          </w:p>
        </w:tc>
        <w:tc>
          <w:tcPr>
            <w:tcW w:w="2260" w:type="dxa"/>
            <w:shd w:val="clear" w:color="000000" w:fill="FFFFFF"/>
            <w:noWrap/>
            <w:vAlign w:val="center"/>
            <w:hideMark/>
          </w:tcPr>
          <w:p w14:paraId="60BA58FE"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3,577,389,219</w:t>
            </w:r>
          </w:p>
        </w:tc>
        <w:tc>
          <w:tcPr>
            <w:tcW w:w="2243" w:type="dxa"/>
            <w:shd w:val="clear" w:color="000000" w:fill="FFFFFF"/>
            <w:noWrap/>
            <w:vAlign w:val="center"/>
            <w:hideMark/>
          </w:tcPr>
          <w:p w14:paraId="67F4F6F1"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3,760,689,397</w:t>
            </w:r>
          </w:p>
        </w:tc>
      </w:tr>
      <w:tr w:rsidR="00D05661" w:rsidRPr="00726BD5" w14:paraId="1CE13DEC" w14:textId="77777777" w:rsidTr="00C33ACA">
        <w:trPr>
          <w:trHeight w:val="315"/>
        </w:trPr>
        <w:tc>
          <w:tcPr>
            <w:tcW w:w="4539" w:type="dxa"/>
            <w:shd w:val="clear" w:color="000000" w:fill="FFFFFF"/>
            <w:noWrap/>
            <w:vAlign w:val="center"/>
            <w:hideMark/>
          </w:tcPr>
          <w:p w14:paraId="45237C3F" w14:textId="32206937" w:rsidR="00D05661" w:rsidRPr="00726BD5" w:rsidRDefault="00C33ACA" w:rsidP="00C33ACA">
            <w:pPr>
              <w:rPr>
                <w:rFonts w:ascii="Montserrat" w:eastAsia="Times New Roman" w:hAnsi="Montserrat" w:cs="Arial"/>
                <w:b/>
                <w:bCs/>
                <w:color w:val="000000"/>
                <w:lang w:val="es-MX"/>
              </w:rPr>
            </w:pPr>
            <w:r>
              <w:rPr>
                <w:rFonts w:ascii="Montserrat" w:eastAsia="Times New Roman" w:hAnsi="Montserrat" w:cs="Arial"/>
                <w:b/>
                <w:bCs/>
                <w:color w:val="000000"/>
                <w:lang w:val="es-MX"/>
              </w:rPr>
              <w:t xml:space="preserve">Total de </w:t>
            </w:r>
            <w:r w:rsidRPr="00726BD5">
              <w:rPr>
                <w:rFonts w:ascii="Montserrat" w:hAnsi="Montserrat"/>
                <w:b/>
              </w:rPr>
              <w:t>Cuentas por Pagar a Corto Plazo</w:t>
            </w:r>
          </w:p>
        </w:tc>
        <w:tc>
          <w:tcPr>
            <w:tcW w:w="2260" w:type="dxa"/>
            <w:shd w:val="clear" w:color="000000" w:fill="FFFFFF"/>
            <w:noWrap/>
            <w:vAlign w:val="center"/>
            <w:hideMark/>
          </w:tcPr>
          <w:p w14:paraId="7D626688"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4,835,740,883</w:t>
            </w:r>
          </w:p>
        </w:tc>
        <w:tc>
          <w:tcPr>
            <w:tcW w:w="2243" w:type="dxa"/>
            <w:shd w:val="clear" w:color="000000" w:fill="FFFFFF"/>
            <w:noWrap/>
            <w:vAlign w:val="center"/>
            <w:hideMark/>
          </w:tcPr>
          <w:p w14:paraId="430473F4"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4,966,436,786</w:t>
            </w:r>
          </w:p>
        </w:tc>
      </w:tr>
    </w:tbl>
    <w:p w14:paraId="081137E4" w14:textId="77777777" w:rsidR="00D05661" w:rsidRPr="00726BD5" w:rsidRDefault="00D05661" w:rsidP="00D05661">
      <w:pPr>
        <w:jc w:val="both"/>
        <w:rPr>
          <w:rFonts w:ascii="Montserrat" w:hAnsi="Montserrat"/>
          <w:b/>
        </w:rPr>
      </w:pPr>
    </w:p>
    <w:p w14:paraId="307C9563" w14:textId="77777777" w:rsidR="00C33ACA" w:rsidRDefault="00C33ACA" w:rsidP="00D05661">
      <w:pPr>
        <w:jc w:val="both"/>
        <w:rPr>
          <w:rFonts w:ascii="Montserrat" w:hAnsi="Montserrat"/>
          <w:b/>
        </w:rPr>
      </w:pPr>
    </w:p>
    <w:p w14:paraId="1799DF4D" w14:textId="20712A9D" w:rsidR="00D05661" w:rsidRPr="00726BD5" w:rsidRDefault="00D05661" w:rsidP="00D05661">
      <w:pPr>
        <w:jc w:val="both"/>
        <w:rPr>
          <w:rFonts w:ascii="Montserrat" w:hAnsi="Montserrat"/>
        </w:rPr>
      </w:pPr>
      <w:r w:rsidRPr="00726BD5">
        <w:rPr>
          <w:rFonts w:ascii="Montserrat" w:hAnsi="Montserrat"/>
          <w:b/>
        </w:rPr>
        <w:t>Nota 13.- Porción a Corto Plazo de la Deuda Pública a Largo Plazo.</w:t>
      </w:r>
    </w:p>
    <w:p w14:paraId="05184CAA" w14:textId="77777777" w:rsidR="00D05661" w:rsidRPr="00726BD5" w:rsidRDefault="00D05661" w:rsidP="00D05661">
      <w:pPr>
        <w:jc w:val="both"/>
        <w:rPr>
          <w:rFonts w:ascii="Montserrat" w:hAnsi="Montserrat"/>
        </w:rPr>
      </w:pPr>
    </w:p>
    <w:p w14:paraId="1041D85F" w14:textId="77777777" w:rsidR="00D05661" w:rsidRPr="00726BD5" w:rsidRDefault="00D05661" w:rsidP="00D05661">
      <w:pPr>
        <w:jc w:val="both"/>
        <w:rPr>
          <w:rFonts w:ascii="Montserrat" w:hAnsi="Montserrat"/>
        </w:rPr>
      </w:pPr>
      <w:r w:rsidRPr="00726BD5">
        <w:rPr>
          <w:rFonts w:ascii="Montserrat" w:hAnsi="Montserrat"/>
        </w:rPr>
        <w:t>Al cierre del periodo enero-junio de 2025 y 2024, la provisión de porción a corto plazo de la Deuda Pública corresponde al Poder Ejecutivo, como se muestra a continuación:</w:t>
      </w:r>
    </w:p>
    <w:p w14:paraId="49167A58" w14:textId="77777777" w:rsidR="00D05661" w:rsidRDefault="00D05661" w:rsidP="00D05661">
      <w:pPr>
        <w:pBdr>
          <w:top w:val="nil"/>
          <w:left w:val="nil"/>
          <w:bottom w:val="nil"/>
          <w:right w:val="nil"/>
          <w:between w:val="nil"/>
        </w:pBdr>
        <w:jc w:val="center"/>
        <w:rPr>
          <w:rFonts w:ascii="Montserrat" w:hAnsi="Montserrat"/>
          <w:b/>
        </w:rPr>
      </w:pPr>
    </w:p>
    <w:p w14:paraId="7E85F926" w14:textId="77777777" w:rsidR="00C33ACA" w:rsidRDefault="00C33ACA" w:rsidP="00D05661">
      <w:pPr>
        <w:pBdr>
          <w:top w:val="nil"/>
          <w:left w:val="nil"/>
          <w:bottom w:val="nil"/>
          <w:right w:val="nil"/>
          <w:between w:val="nil"/>
        </w:pBdr>
        <w:jc w:val="center"/>
        <w:rPr>
          <w:rFonts w:ascii="Montserrat" w:hAnsi="Montserrat"/>
          <w:b/>
        </w:rPr>
      </w:pPr>
    </w:p>
    <w:p w14:paraId="401DD478" w14:textId="77777777" w:rsidR="00C33ACA" w:rsidRDefault="00C33ACA" w:rsidP="00D05661">
      <w:pPr>
        <w:pBdr>
          <w:top w:val="nil"/>
          <w:left w:val="nil"/>
          <w:bottom w:val="nil"/>
          <w:right w:val="nil"/>
          <w:between w:val="nil"/>
        </w:pBdr>
        <w:jc w:val="center"/>
        <w:rPr>
          <w:rFonts w:ascii="Montserrat" w:hAnsi="Montserrat"/>
          <w:b/>
        </w:rPr>
      </w:pPr>
    </w:p>
    <w:p w14:paraId="7E6066E5" w14:textId="77777777" w:rsidR="00D05661" w:rsidRPr="00726BD5" w:rsidRDefault="00D05661" w:rsidP="00D05661">
      <w:pPr>
        <w:pBdr>
          <w:top w:val="nil"/>
          <w:left w:val="nil"/>
          <w:bottom w:val="nil"/>
          <w:right w:val="nil"/>
          <w:between w:val="nil"/>
        </w:pBdr>
        <w:jc w:val="center"/>
        <w:rPr>
          <w:rFonts w:ascii="Montserrat" w:hAnsi="Montserrat"/>
          <w:b/>
        </w:rPr>
      </w:pPr>
      <w:r w:rsidRPr="00726BD5">
        <w:rPr>
          <w:rFonts w:ascii="Montserrat" w:hAnsi="Montserrat"/>
          <w:b/>
        </w:rPr>
        <w:t>(Pesos)</w:t>
      </w:r>
    </w:p>
    <w:tbl>
      <w:tblPr>
        <w:tblW w:w="8985" w:type="dxa"/>
        <w:tblInd w:w="55" w:type="dxa"/>
        <w:tblCellMar>
          <w:left w:w="70" w:type="dxa"/>
          <w:right w:w="70" w:type="dxa"/>
        </w:tblCellMar>
        <w:tblLook w:val="04A0" w:firstRow="1" w:lastRow="0" w:firstColumn="1" w:lastColumn="0" w:noHBand="0" w:noVBand="1"/>
      </w:tblPr>
      <w:tblGrid>
        <w:gridCol w:w="4510"/>
        <w:gridCol w:w="2246"/>
        <w:gridCol w:w="2229"/>
      </w:tblGrid>
      <w:tr w:rsidR="00D05661" w:rsidRPr="00726BD5" w14:paraId="0CD8E23D" w14:textId="77777777" w:rsidTr="005D0CB2">
        <w:trPr>
          <w:trHeight w:val="321"/>
        </w:trPr>
        <w:tc>
          <w:tcPr>
            <w:tcW w:w="45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35852BB" w14:textId="77777777" w:rsidR="00D05661" w:rsidRPr="00726BD5" w:rsidRDefault="00D05661" w:rsidP="00BE0300">
            <w:pPr>
              <w:jc w:val="center"/>
              <w:rPr>
                <w:rFonts w:ascii="Montserrat" w:eastAsia="Times New Roman" w:hAnsi="Montserrat" w:cs="Arial"/>
                <w:b/>
                <w:bCs/>
                <w:lang w:val="es-MX"/>
              </w:rPr>
            </w:pPr>
            <w:bookmarkStart w:id="18" w:name="_Hlk157391818"/>
            <w:r w:rsidRPr="00726BD5">
              <w:rPr>
                <w:rFonts w:ascii="Montserrat" w:eastAsia="Times New Roman" w:hAnsi="Montserrat" w:cs="Arial"/>
                <w:b/>
                <w:bCs/>
                <w:lang w:val="es-MX"/>
              </w:rPr>
              <w:t>Concepto</w:t>
            </w:r>
          </w:p>
        </w:tc>
        <w:tc>
          <w:tcPr>
            <w:tcW w:w="224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E6AAD5E"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2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D89DC64"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D05661" w:rsidRPr="00726BD5" w14:paraId="4B35129B" w14:textId="77777777" w:rsidTr="00BE0300">
        <w:trPr>
          <w:trHeight w:val="305"/>
        </w:trPr>
        <w:tc>
          <w:tcPr>
            <w:tcW w:w="4510" w:type="dxa"/>
            <w:tcBorders>
              <w:top w:val="nil"/>
              <w:left w:val="single" w:sz="8" w:space="0" w:color="auto"/>
              <w:bottom w:val="single" w:sz="8" w:space="0" w:color="auto"/>
              <w:right w:val="single" w:sz="8" w:space="0" w:color="auto"/>
            </w:tcBorders>
            <w:shd w:val="clear" w:color="000000" w:fill="FFFFFF"/>
            <w:noWrap/>
            <w:vAlign w:val="center"/>
            <w:hideMark/>
          </w:tcPr>
          <w:p w14:paraId="776C05F0"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Porción a Corto Plazo de la Deuda Pública Interna</w:t>
            </w:r>
          </w:p>
        </w:tc>
        <w:tc>
          <w:tcPr>
            <w:tcW w:w="2246" w:type="dxa"/>
            <w:tcBorders>
              <w:top w:val="nil"/>
              <w:left w:val="nil"/>
              <w:bottom w:val="single" w:sz="8" w:space="0" w:color="auto"/>
              <w:right w:val="single" w:sz="8" w:space="0" w:color="auto"/>
            </w:tcBorders>
            <w:shd w:val="clear" w:color="000000" w:fill="FFFFFF"/>
            <w:noWrap/>
            <w:vAlign w:val="center"/>
            <w:hideMark/>
          </w:tcPr>
          <w:p w14:paraId="062CC8D8"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129,738,269</w:t>
            </w:r>
          </w:p>
        </w:tc>
        <w:tc>
          <w:tcPr>
            <w:tcW w:w="2229" w:type="dxa"/>
            <w:tcBorders>
              <w:top w:val="nil"/>
              <w:left w:val="nil"/>
              <w:bottom w:val="single" w:sz="8" w:space="0" w:color="auto"/>
              <w:right w:val="single" w:sz="8" w:space="0" w:color="auto"/>
            </w:tcBorders>
            <w:shd w:val="clear" w:color="000000" w:fill="FFFFFF"/>
            <w:noWrap/>
            <w:vAlign w:val="center"/>
            <w:hideMark/>
          </w:tcPr>
          <w:p w14:paraId="7F21B54C"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186,058,321</w:t>
            </w:r>
          </w:p>
        </w:tc>
      </w:tr>
      <w:tr w:rsidR="00D05661" w:rsidRPr="00726BD5" w14:paraId="1FDA9DEC" w14:textId="77777777" w:rsidTr="00BE0300">
        <w:trPr>
          <w:trHeight w:val="321"/>
        </w:trPr>
        <w:tc>
          <w:tcPr>
            <w:tcW w:w="4510" w:type="dxa"/>
            <w:tcBorders>
              <w:top w:val="nil"/>
              <w:left w:val="single" w:sz="8" w:space="0" w:color="auto"/>
              <w:bottom w:val="single" w:sz="8" w:space="0" w:color="auto"/>
              <w:right w:val="single" w:sz="8" w:space="0" w:color="auto"/>
            </w:tcBorders>
            <w:shd w:val="clear" w:color="000000" w:fill="FFFFFF"/>
            <w:noWrap/>
            <w:vAlign w:val="center"/>
            <w:hideMark/>
          </w:tcPr>
          <w:p w14:paraId="4E1790A9" w14:textId="6359413E" w:rsidR="00D05661" w:rsidRPr="00726BD5" w:rsidRDefault="00C33ACA" w:rsidP="00C33ACA">
            <w:pPr>
              <w:rPr>
                <w:rFonts w:ascii="Montserrat" w:eastAsia="Times New Roman" w:hAnsi="Montserrat" w:cs="Arial"/>
                <w:b/>
                <w:bCs/>
                <w:color w:val="000000"/>
                <w:lang w:val="es-MX"/>
              </w:rPr>
            </w:pPr>
            <w:r>
              <w:rPr>
                <w:rFonts w:ascii="Montserrat" w:eastAsia="Times New Roman" w:hAnsi="Montserrat" w:cs="Arial"/>
                <w:b/>
                <w:bCs/>
                <w:color w:val="000000"/>
                <w:lang w:val="es-MX"/>
              </w:rPr>
              <w:t xml:space="preserve">Total de </w:t>
            </w:r>
            <w:r w:rsidRPr="00726BD5">
              <w:rPr>
                <w:rFonts w:ascii="Montserrat" w:hAnsi="Montserrat"/>
                <w:b/>
              </w:rPr>
              <w:t>Porción a Corto Plazo de la Deuda Pública a Largo Plazo</w:t>
            </w:r>
          </w:p>
        </w:tc>
        <w:tc>
          <w:tcPr>
            <w:tcW w:w="2246" w:type="dxa"/>
            <w:tcBorders>
              <w:top w:val="nil"/>
              <w:left w:val="nil"/>
              <w:bottom w:val="single" w:sz="8" w:space="0" w:color="auto"/>
              <w:right w:val="single" w:sz="8" w:space="0" w:color="auto"/>
            </w:tcBorders>
            <w:shd w:val="clear" w:color="000000" w:fill="FFFFFF"/>
            <w:noWrap/>
            <w:vAlign w:val="center"/>
            <w:hideMark/>
          </w:tcPr>
          <w:p w14:paraId="791580C1"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129,738,269</w:t>
            </w:r>
          </w:p>
        </w:tc>
        <w:tc>
          <w:tcPr>
            <w:tcW w:w="2229" w:type="dxa"/>
            <w:tcBorders>
              <w:top w:val="nil"/>
              <w:left w:val="nil"/>
              <w:bottom w:val="single" w:sz="8" w:space="0" w:color="auto"/>
              <w:right w:val="single" w:sz="8" w:space="0" w:color="auto"/>
            </w:tcBorders>
            <w:shd w:val="clear" w:color="000000" w:fill="FFFFFF"/>
            <w:noWrap/>
            <w:vAlign w:val="center"/>
            <w:hideMark/>
          </w:tcPr>
          <w:p w14:paraId="48F95264"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186,058,321</w:t>
            </w:r>
          </w:p>
        </w:tc>
      </w:tr>
    </w:tbl>
    <w:p w14:paraId="20E9272D" w14:textId="77777777" w:rsidR="00D05661" w:rsidRPr="00726BD5" w:rsidRDefault="00D05661" w:rsidP="00D05661">
      <w:pPr>
        <w:jc w:val="both"/>
        <w:rPr>
          <w:rFonts w:ascii="Montserrat" w:hAnsi="Montserrat"/>
          <w:b/>
        </w:rPr>
      </w:pPr>
    </w:p>
    <w:p w14:paraId="2B90A4EB" w14:textId="77777777" w:rsidR="00D05661" w:rsidRPr="00726BD5" w:rsidRDefault="00D05661" w:rsidP="00D05661">
      <w:pPr>
        <w:rPr>
          <w:rFonts w:ascii="Montserrat" w:hAnsi="Montserrat"/>
          <w:b/>
        </w:rPr>
      </w:pPr>
      <w:r w:rsidRPr="00726BD5">
        <w:rPr>
          <w:rFonts w:ascii="Montserrat" w:hAnsi="Montserrat"/>
          <w:b/>
        </w:rPr>
        <w:t>Nota 13.- Fondos y Bienes de Terceros en Garantía y/o Administración</w:t>
      </w:r>
    </w:p>
    <w:p w14:paraId="67138E5B" w14:textId="77777777" w:rsidR="00D05661" w:rsidRPr="00726BD5" w:rsidRDefault="00D05661" w:rsidP="00D05661">
      <w:pPr>
        <w:rPr>
          <w:rFonts w:ascii="Montserrat" w:hAnsi="Montserrat"/>
          <w:b/>
        </w:rPr>
      </w:pPr>
    </w:p>
    <w:p w14:paraId="744921BB" w14:textId="77777777" w:rsidR="00D05661" w:rsidRPr="00726BD5" w:rsidRDefault="00D05661" w:rsidP="00D05661">
      <w:pPr>
        <w:pBdr>
          <w:top w:val="nil"/>
          <w:left w:val="nil"/>
          <w:bottom w:val="nil"/>
          <w:right w:val="nil"/>
          <w:between w:val="nil"/>
        </w:pBdr>
        <w:jc w:val="both"/>
        <w:rPr>
          <w:rFonts w:ascii="Montserrat" w:hAnsi="Montserrat"/>
          <w:color w:val="000000"/>
        </w:rPr>
      </w:pPr>
      <w:r w:rsidRPr="00726BD5">
        <w:rPr>
          <w:rFonts w:ascii="Montserrat" w:hAnsi="Montserrat"/>
          <w:color w:val="000000"/>
        </w:rPr>
        <w:t>En este rubro los entes públicos no reflejan movimientos correspondientes al segundo informe trimestral del ejercicio 2025.</w:t>
      </w:r>
    </w:p>
    <w:p w14:paraId="349FF99F" w14:textId="77777777" w:rsidR="00D05661" w:rsidRPr="00726BD5" w:rsidRDefault="00D05661" w:rsidP="00D05661">
      <w:pPr>
        <w:pBdr>
          <w:top w:val="nil"/>
          <w:left w:val="nil"/>
          <w:bottom w:val="nil"/>
          <w:right w:val="nil"/>
          <w:between w:val="nil"/>
        </w:pBdr>
        <w:jc w:val="both"/>
        <w:rPr>
          <w:rFonts w:ascii="Montserrat" w:hAnsi="Montserrat"/>
          <w:color w:val="000000"/>
        </w:rPr>
      </w:pPr>
    </w:p>
    <w:p w14:paraId="783817CF" w14:textId="77777777" w:rsidR="00D05661" w:rsidRPr="00726BD5" w:rsidRDefault="00D05661" w:rsidP="00D05661">
      <w:pPr>
        <w:rPr>
          <w:rFonts w:ascii="Montserrat" w:hAnsi="Montserrat"/>
          <w:b/>
        </w:rPr>
      </w:pPr>
      <w:r w:rsidRPr="00726BD5">
        <w:rPr>
          <w:rFonts w:ascii="Montserrat" w:hAnsi="Montserrat"/>
          <w:b/>
        </w:rPr>
        <w:t>Nota 14.- Pasivos Diferidos</w:t>
      </w:r>
    </w:p>
    <w:p w14:paraId="1AF6523E" w14:textId="77777777" w:rsidR="00D05661" w:rsidRPr="00726BD5" w:rsidRDefault="00D05661" w:rsidP="00D05661">
      <w:pPr>
        <w:rPr>
          <w:rFonts w:ascii="Montserrat" w:hAnsi="Montserrat"/>
          <w:b/>
        </w:rPr>
      </w:pPr>
    </w:p>
    <w:p w14:paraId="76BDD9AE" w14:textId="77777777" w:rsidR="00D05661" w:rsidRPr="00726BD5" w:rsidRDefault="00D05661" w:rsidP="00D05661">
      <w:pPr>
        <w:pBdr>
          <w:top w:val="nil"/>
          <w:left w:val="nil"/>
          <w:bottom w:val="nil"/>
          <w:right w:val="nil"/>
          <w:between w:val="nil"/>
        </w:pBdr>
        <w:jc w:val="both"/>
        <w:rPr>
          <w:rFonts w:ascii="Montserrat" w:hAnsi="Montserrat"/>
          <w:color w:val="000000"/>
        </w:rPr>
      </w:pPr>
      <w:r w:rsidRPr="00726BD5">
        <w:rPr>
          <w:rFonts w:ascii="Montserrat" w:hAnsi="Montserrat"/>
          <w:color w:val="000000"/>
        </w:rPr>
        <w:t>En este rubro los entes públicos no reflejan movimientos correspondientes al segundo informe trimestral del ejercicio 2025.</w:t>
      </w:r>
    </w:p>
    <w:p w14:paraId="6C54DB26" w14:textId="77777777" w:rsidR="00D05661" w:rsidRPr="00726BD5" w:rsidRDefault="00D05661" w:rsidP="00D05661">
      <w:pPr>
        <w:rPr>
          <w:rFonts w:ascii="Montserrat" w:hAnsi="Montserrat"/>
          <w:b/>
        </w:rPr>
      </w:pPr>
    </w:p>
    <w:p w14:paraId="0E683339" w14:textId="77777777" w:rsidR="00D05661" w:rsidRPr="00726BD5" w:rsidRDefault="00D05661" w:rsidP="00D05661">
      <w:pPr>
        <w:rPr>
          <w:rFonts w:ascii="Montserrat" w:hAnsi="Montserrat"/>
          <w:b/>
        </w:rPr>
      </w:pPr>
      <w:r w:rsidRPr="00726BD5">
        <w:rPr>
          <w:rFonts w:ascii="Montserrat" w:hAnsi="Montserrat"/>
          <w:b/>
        </w:rPr>
        <w:t>Nota 15.- Provisiones</w:t>
      </w:r>
    </w:p>
    <w:p w14:paraId="4E81D345" w14:textId="77777777" w:rsidR="00D05661" w:rsidRPr="00726BD5" w:rsidRDefault="00D05661" w:rsidP="00D05661">
      <w:pPr>
        <w:rPr>
          <w:rFonts w:ascii="Montserrat" w:hAnsi="Montserrat"/>
          <w:b/>
        </w:rPr>
      </w:pPr>
    </w:p>
    <w:p w14:paraId="6592D56E" w14:textId="77777777" w:rsidR="00D05661" w:rsidRPr="00726BD5" w:rsidRDefault="00D05661" w:rsidP="00D05661">
      <w:pPr>
        <w:pBdr>
          <w:top w:val="nil"/>
          <w:left w:val="nil"/>
          <w:bottom w:val="nil"/>
          <w:right w:val="nil"/>
          <w:between w:val="nil"/>
        </w:pBdr>
        <w:jc w:val="both"/>
        <w:rPr>
          <w:rFonts w:ascii="Montserrat" w:hAnsi="Montserrat"/>
          <w:color w:val="000000"/>
        </w:rPr>
      </w:pPr>
      <w:r w:rsidRPr="00726BD5">
        <w:rPr>
          <w:rFonts w:ascii="Montserrat" w:hAnsi="Montserrat"/>
          <w:color w:val="000000"/>
        </w:rPr>
        <w:t>En este rubro los entes públicos no reflejan movimientos correspondientes al segundo informe trimestral del ejercicio 2025.</w:t>
      </w:r>
    </w:p>
    <w:p w14:paraId="4D12D538" w14:textId="77777777" w:rsidR="00D05661" w:rsidRPr="00726BD5" w:rsidRDefault="00D05661" w:rsidP="00D05661">
      <w:pPr>
        <w:pBdr>
          <w:top w:val="nil"/>
          <w:left w:val="nil"/>
          <w:bottom w:val="nil"/>
          <w:right w:val="nil"/>
          <w:between w:val="nil"/>
        </w:pBdr>
        <w:jc w:val="both"/>
        <w:rPr>
          <w:rFonts w:ascii="Montserrat" w:hAnsi="Montserrat"/>
          <w:color w:val="000000"/>
        </w:rPr>
      </w:pPr>
    </w:p>
    <w:p w14:paraId="668AB3A3" w14:textId="77777777" w:rsidR="00D05661" w:rsidRPr="00726BD5" w:rsidRDefault="00D05661" w:rsidP="00D05661">
      <w:pPr>
        <w:jc w:val="both"/>
        <w:rPr>
          <w:rFonts w:ascii="Montserrat" w:hAnsi="Montserrat"/>
          <w:b/>
        </w:rPr>
      </w:pPr>
      <w:r w:rsidRPr="00726BD5">
        <w:rPr>
          <w:rFonts w:ascii="Montserrat" w:hAnsi="Montserrat"/>
          <w:b/>
        </w:rPr>
        <w:t>Nota 16.- Otros Pasivos a Corto Plazo.</w:t>
      </w:r>
    </w:p>
    <w:bookmarkEnd w:id="18"/>
    <w:p w14:paraId="721A5C70" w14:textId="77777777" w:rsidR="00D05661" w:rsidRPr="00726BD5" w:rsidRDefault="00D05661" w:rsidP="00D05661">
      <w:pPr>
        <w:jc w:val="both"/>
        <w:rPr>
          <w:rFonts w:ascii="Montserrat" w:hAnsi="Montserrat"/>
        </w:rPr>
      </w:pPr>
    </w:p>
    <w:p w14:paraId="785927ED" w14:textId="77777777" w:rsidR="00D05661" w:rsidRPr="00726BD5" w:rsidRDefault="00D05661" w:rsidP="00D05661">
      <w:pPr>
        <w:jc w:val="both"/>
        <w:rPr>
          <w:rFonts w:ascii="Montserrat" w:hAnsi="Montserrat"/>
        </w:rPr>
      </w:pPr>
      <w:r w:rsidRPr="00726BD5">
        <w:rPr>
          <w:rFonts w:ascii="Montserrat" w:hAnsi="Montserrat"/>
        </w:rPr>
        <w:t>El saldo dentro del Poder Ejecutivo de las cuentas que conforman este rubro del pasivo representa el monto de los adeudos del Estado con terceros institucionales, que deberá pagar en un plazo menor o igual a doce meses.</w:t>
      </w:r>
    </w:p>
    <w:p w14:paraId="0F5D9707" w14:textId="77777777" w:rsidR="00D05661" w:rsidRPr="00726BD5" w:rsidRDefault="00D05661" w:rsidP="00D05661">
      <w:pPr>
        <w:jc w:val="both"/>
        <w:rPr>
          <w:rFonts w:ascii="Montserrat" w:hAnsi="Montserrat"/>
        </w:rPr>
      </w:pPr>
    </w:p>
    <w:p w14:paraId="147798A0" w14:textId="77777777" w:rsidR="00D05661" w:rsidRPr="00726BD5" w:rsidRDefault="00D05661" w:rsidP="00D05661">
      <w:pPr>
        <w:jc w:val="both"/>
        <w:rPr>
          <w:rFonts w:ascii="Montserrat" w:hAnsi="Montserrat"/>
        </w:rPr>
      </w:pPr>
      <w:r w:rsidRPr="00726BD5">
        <w:rPr>
          <w:rFonts w:ascii="Montserrat" w:hAnsi="Montserrat"/>
        </w:rPr>
        <w:t>Se integra Al 30 de junio de 2025 y 2024 de la siguiente forma:</w:t>
      </w:r>
    </w:p>
    <w:p w14:paraId="4B26E4A0" w14:textId="77777777" w:rsidR="00D05661" w:rsidRPr="00726BD5" w:rsidRDefault="00D05661" w:rsidP="00D05661">
      <w:pPr>
        <w:jc w:val="both"/>
        <w:rPr>
          <w:rFonts w:ascii="Montserrat" w:hAnsi="Montserrat"/>
        </w:rPr>
      </w:pPr>
    </w:p>
    <w:p w14:paraId="2E1DB84D" w14:textId="77777777" w:rsidR="00D05661" w:rsidRPr="00726BD5" w:rsidRDefault="00D05661" w:rsidP="00D05661">
      <w:pPr>
        <w:jc w:val="center"/>
        <w:rPr>
          <w:rFonts w:ascii="Montserrat" w:hAnsi="Montserrat"/>
          <w:b/>
        </w:rPr>
      </w:pPr>
      <w:r w:rsidRPr="00726BD5">
        <w:rPr>
          <w:rFonts w:ascii="Montserrat" w:hAnsi="Montserrat"/>
          <w:b/>
        </w:rPr>
        <w:t>(Pesos)</w:t>
      </w:r>
    </w:p>
    <w:tbl>
      <w:tblPr>
        <w:tblW w:w="9024"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30"/>
        <w:gridCol w:w="2256"/>
        <w:gridCol w:w="2238"/>
      </w:tblGrid>
      <w:tr w:rsidR="00D05661" w:rsidRPr="00726BD5" w14:paraId="7C7636F0" w14:textId="77777777" w:rsidTr="00C33ACA">
        <w:trPr>
          <w:trHeight w:val="307"/>
        </w:trPr>
        <w:tc>
          <w:tcPr>
            <w:tcW w:w="4530" w:type="dxa"/>
            <w:shd w:val="clear" w:color="auto" w:fill="D9D9D9" w:themeFill="background1" w:themeFillShade="D9"/>
            <w:vAlign w:val="center"/>
            <w:hideMark/>
          </w:tcPr>
          <w:p w14:paraId="45342436"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56" w:type="dxa"/>
            <w:shd w:val="clear" w:color="auto" w:fill="D9D9D9" w:themeFill="background1" w:themeFillShade="D9"/>
            <w:vAlign w:val="center"/>
            <w:hideMark/>
          </w:tcPr>
          <w:p w14:paraId="7C5DF4F8"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38" w:type="dxa"/>
            <w:shd w:val="clear" w:color="auto" w:fill="D9D9D9" w:themeFill="background1" w:themeFillShade="D9"/>
            <w:vAlign w:val="center"/>
            <w:hideMark/>
          </w:tcPr>
          <w:p w14:paraId="3B8BC7A1"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D05661" w:rsidRPr="00726BD5" w14:paraId="6B330135" w14:textId="77777777" w:rsidTr="00C33ACA">
        <w:trPr>
          <w:trHeight w:val="278"/>
        </w:trPr>
        <w:tc>
          <w:tcPr>
            <w:tcW w:w="4530" w:type="dxa"/>
            <w:shd w:val="clear" w:color="000000" w:fill="FFFFFF"/>
            <w:noWrap/>
            <w:vAlign w:val="center"/>
            <w:hideMark/>
          </w:tcPr>
          <w:p w14:paraId="5E269204"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Ingresos Por Clasificar</w:t>
            </w:r>
          </w:p>
        </w:tc>
        <w:tc>
          <w:tcPr>
            <w:tcW w:w="2256" w:type="dxa"/>
            <w:shd w:val="clear" w:color="000000" w:fill="FFFFFF"/>
            <w:noWrap/>
            <w:vAlign w:val="center"/>
            <w:hideMark/>
          </w:tcPr>
          <w:p w14:paraId="08BC94F9"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25,476,337</w:t>
            </w:r>
          </w:p>
        </w:tc>
        <w:tc>
          <w:tcPr>
            <w:tcW w:w="2238" w:type="dxa"/>
            <w:shd w:val="clear" w:color="000000" w:fill="FFFFFF"/>
            <w:noWrap/>
            <w:vAlign w:val="center"/>
            <w:hideMark/>
          </w:tcPr>
          <w:p w14:paraId="45ABCF0D"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20,823,125</w:t>
            </w:r>
          </w:p>
        </w:tc>
      </w:tr>
      <w:tr w:rsidR="00D05661" w:rsidRPr="00726BD5" w14:paraId="759C6560" w14:textId="77777777" w:rsidTr="00C33ACA">
        <w:trPr>
          <w:trHeight w:val="278"/>
        </w:trPr>
        <w:tc>
          <w:tcPr>
            <w:tcW w:w="4530" w:type="dxa"/>
            <w:shd w:val="clear" w:color="000000" w:fill="FFFFFF"/>
            <w:noWrap/>
            <w:vAlign w:val="center"/>
            <w:hideMark/>
          </w:tcPr>
          <w:p w14:paraId="1EC24624"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Recaudación Por Participar</w:t>
            </w:r>
          </w:p>
        </w:tc>
        <w:tc>
          <w:tcPr>
            <w:tcW w:w="2256" w:type="dxa"/>
            <w:shd w:val="clear" w:color="000000" w:fill="FFFFFF"/>
            <w:noWrap/>
            <w:vAlign w:val="center"/>
            <w:hideMark/>
          </w:tcPr>
          <w:p w14:paraId="1E099E89"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27,529,127</w:t>
            </w:r>
          </w:p>
        </w:tc>
        <w:tc>
          <w:tcPr>
            <w:tcW w:w="2238" w:type="dxa"/>
            <w:shd w:val="clear" w:color="000000" w:fill="FFFFFF"/>
            <w:noWrap/>
            <w:vAlign w:val="center"/>
            <w:hideMark/>
          </w:tcPr>
          <w:p w14:paraId="72139DDF"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26,356,715</w:t>
            </w:r>
          </w:p>
        </w:tc>
      </w:tr>
      <w:tr w:rsidR="00D05661" w:rsidRPr="00726BD5" w14:paraId="335D77A2" w14:textId="77777777" w:rsidTr="00C33ACA">
        <w:trPr>
          <w:trHeight w:val="293"/>
        </w:trPr>
        <w:tc>
          <w:tcPr>
            <w:tcW w:w="4530" w:type="dxa"/>
            <w:shd w:val="clear" w:color="000000" w:fill="FFFFFF"/>
            <w:noWrap/>
            <w:vAlign w:val="center"/>
            <w:hideMark/>
          </w:tcPr>
          <w:p w14:paraId="0BEA0D56"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Otros Pasivos Circulantes</w:t>
            </w:r>
          </w:p>
        </w:tc>
        <w:tc>
          <w:tcPr>
            <w:tcW w:w="2256" w:type="dxa"/>
            <w:shd w:val="clear" w:color="000000" w:fill="FFFFFF"/>
            <w:noWrap/>
            <w:vAlign w:val="center"/>
            <w:hideMark/>
          </w:tcPr>
          <w:p w14:paraId="2D0E60A7"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1,881,336</w:t>
            </w:r>
          </w:p>
        </w:tc>
        <w:tc>
          <w:tcPr>
            <w:tcW w:w="2238" w:type="dxa"/>
            <w:shd w:val="clear" w:color="000000" w:fill="FFFFFF"/>
            <w:noWrap/>
            <w:vAlign w:val="center"/>
            <w:hideMark/>
          </w:tcPr>
          <w:p w14:paraId="1B9EBA4A"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1,444,786</w:t>
            </w:r>
          </w:p>
        </w:tc>
      </w:tr>
      <w:tr w:rsidR="00D05661" w:rsidRPr="00726BD5" w14:paraId="65E7F41F" w14:textId="77777777" w:rsidTr="00C33ACA">
        <w:trPr>
          <w:trHeight w:val="307"/>
        </w:trPr>
        <w:tc>
          <w:tcPr>
            <w:tcW w:w="4530" w:type="dxa"/>
            <w:shd w:val="clear" w:color="000000" w:fill="FFFFFF"/>
            <w:noWrap/>
            <w:vAlign w:val="center"/>
            <w:hideMark/>
          </w:tcPr>
          <w:p w14:paraId="23C35805" w14:textId="1059ADCD" w:rsidR="00D05661" w:rsidRPr="00726BD5" w:rsidRDefault="00C33ACA" w:rsidP="00C33ACA">
            <w:pPr>
              <w:rPr>
                <w:rFonts w:ascii="Montserrat" w:eastAsia="Times New Roman" w:hAnsi="Montserrat" w:cs="Arial"/>
                <w:b/>
                <w:bCs/>
                <w:color w:val="000000"/>
                <w:lang w:val="es-MX"/>
              </w:rPr>
            </w:pPr>
            <w:r>
              <w:rPr>
                <w:rFonts w:ascii="Montserrat" w:eastAsia="Times New Roman" w:hAnsi="Montserrat" w:cs="Arial"/>
                <w:b/>
                <w:bCs/>
                <w:color w:val="000000"/>
                <w:lang w:val="es-MX"/>
              </w:rPr>
              <w:t xml:space="preserve">Total de </w:t>
            </w:r>
            <w:r w:rsidRPr="00726BD5">
              <w:rPr>
                <w:rFonts w:ascii="Montserrat" w:hAnsi="Montserrat"/>
                <w:b/>
              </w:rPr>
              <w:t>Otros Pasivos a Corto Plazo</w:t>
            </w:r>
            <w:r w:rsidRPr="00726BD5">
              <w:rPr>
                <w:rFonts w:ascii="Montserrat" w:eastAsia="Times New Roman" w:hAnsi="Montserrat" w:cs="Arial"/>
                <w:b/>
                <w:bCs/>
                <w:color w:val="000000"/>
                <w:lang w:val="es-MX"/>
              </w:rPr>
              <w:t xml:space="preserve"> </w:t>
            </w:r>
          </w:p>
        </w:tc>
        <w:tc>
          <w:tcPr>
            <w:tcW w:w="2256" w:type="dxa"/>
            <w:shd w:val="clear" w:color="000000" w:fill="FFFFFF"/>
            <w:noWrap/>
            <w:vAlign w:val="center"/>
            <w:hideMark/>
          </w:tcPr>
          <w:p w14:paraId="18148D50"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54,886,800</w:t>
            </w:r>
          </w:p>
        </w:tc>
        <w:tc>
          <w:tcPr>
            <w:tcW w:w="2238" w:type="dxa"/>
            <w:shd w:val="clear" w:color="000000" w:fill="FFFFFF"/>
            <w:noWrap/>
            <w:vAlign w:val="center"/>
            <w:hideMark/>
          </w:tcPr>
          <w:p w14:paraId="677DF334"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48,624,627</w:t>
            </w:r>
          </w:p>
        </w:tc>
      </w:tr>
    </w:tbl>
    <w:p w14:paraId="0E8D2820" w14:textId="77777777" w:rsidR="00D05661" w:rsidRPr="00726BD5" w:rsidRDefault="00D05661" w:rsidP="00D05661">
      <w:pPr>
        <w:tabs>
          <w:tab w:val="left" w:pos="2859"/>
        </w:tabs>
        <w:rPr>
          <w:rFonts w:ascii="Montserrat" w:hAnsi="Montserrat"/>
          <w:b/>
        </w:rPr>
      </w:pPr>
    </w:p>
    <w:p w14:paraId="58490573" w14:textId="77777777" w:rsidR="00D05661" w:rsidRPr="00726BD5" w:rsidRDefault="00D05661" w:rsidP="00D05661">
      <w:pPr>
        <w:tabs>
          <w:tab w:val="left" w:pos="142"/>
        </w:tabs>
        <w:jc w:val="both"/>
        <w:rPr>
          <w:rFonts w:ascii="Montserrat" w:hAnsi="Montserrat"/>
        </w:rPr>
      </w:pPr>
      <w:bookmarkStart w:id="19" w:name="_Hlk157391948"/>
      <w:r w:rsidRPr="00726BD5">
        <w:rPr>
          <w:rFonts w:ascii="Montserrat" w:hAnsi="Montserrat"/>
          <w:b/>
        </w:rPr>
        <w:t>Nota 17.- Deuda Pública a Largo Plazo.</w:t>
      </w:r>
    </w:p>
    <w:bookmarkEnd w:id="19"/>
    <w:p w14:paraId="046304F7" w14:textId="77777777" w:rsidR="00D05661" w:rsidRPr="00726BD5" w:rsidRDefault="00D05661" w:rsidP="00D05661">
      <w:pPr>
        <w:tabs>
          <w:tab w:val="left" w:pos="142"/>
        </w:tabs>
        <w:ind w:firstLine="720"/>
        <w:jc w:val="both"/>
        <w:rPr>
          <w:rFonts w:ascii="Montserrat" w:hAnsi="Montserrat"/>
        </w:rPr>
      </w:pPr>
    </w:p>
    <w:p w14:paraId="65C238B1" w14:textId="77777777" w:rsidR="00D05661" w:rsidRPr="00726BD5" w:rsidRDefault="00D05661" w:rsidP="00D05661">
      <w:pPr>
        <w:tabs>
          <w:tab w:val="left" w:pos="142"/>
        </w:tabs>
        <w:jc w:val="both"/>
        <w:rPr>
          <w:rFonts w:ascii="Montserrat" w:hAnsi="Montserrat"/>
        </w:rPr>
      </w:pPr>
      <w:r w:rsidRPr="00726BD5">
        <w:rPr>
          <w:rFonts w:ascii="Montserrat" w:hAnsi="Montserrat"/>
        </w:rPr>
        <w:t>El saldo de esta cuenta representa el monto de las obligaciones directas o contingentes derivadas de financiamiento a cargo del Estado dentro del Poder Ejecutivo. A continuación, se presenta la integración de este rubro de enero-junio de 2025 y 2024:</w:t>
      </w:r>
    </w:p>
    <w:p w14:paraId="6705CAA5" w14:textId="77777777" w:rsidR="00D05661" w:rsidRPr="00726BD5" w:rsidRDefault="00D05661" w:rsidP="00D05661">
      <w:pPr>
        <w:jc w:val="center"/>
        <w:rPr>
          <w:rFonts w:ascii="Montserrat" w:hAnsi="Montserrat"/>
          <w:b/>
        </w:rPr>
      </w:pPr>
      <w:r w:rsidRPr="00726BD5">
        <w:rPr>
          <w:rFonts w:ascii="Montserrat" w:hAnsi="Montserrat"/>
          <w:b/>
        </w:rPr>
        <w:t xml:space="preserve"> (Pesos)</w:t>
      </w:r>
    </w:p>
    <w:tbl>
      <w:tblPr>
        <w:tblW w:w="9024" w:type="dxa"/>
        <w:tblInd w:w="55" w:type="dxa"/>
        <w:tblCellMar>
          <w:left w:w="70" w:type="dxa"/>
          <w:right w:w="70" w:type="dxa"/>
        </w:tblCellMar>
        <w:tblLook w:val="04A0" w:firstRow="1" w:lastRow="0" w:firstColumn="1" w:lastColumn="0" w:noHBand="0" w:noVBand="1"/>
      </w:tblPr>
      <w:tblGrid>
        <w:gridCol w:w="5555"/>
        <w:gridCol w:w="1892"/>
        <w:gridCol w:w="1960"/>
      </w:tblGrid>
      <w:tr w:rsidR="00D05661" w:rsidRPr="00726BD5" w14:paraId="64C5EC4E" w14:textId="77777777" w:rsidTr="005D0CB2">
        <w:trPr>
          <w:trHeight w:val="306"/>
        </w:trPr>
        <w:tc>
          <w:tcPr>
            <w:tcW w:w="555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43C0ECE"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173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F10E021"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173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5735662"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D05661" w:rsidRPr="00726BD5" w14:paraId="7814D2C6" w14:textId="77777777" w:rsidTr="00BE0300">
        <w:trPr>
          <w:trHeight w:val="568"/>
        </w:trPr>
        <w:tc>
          <w:tcPr>
            <w:tcW w:w="5555" w:type="dxa"/>
            <w:tcBorders>
              <w:top w:val="nil"/>
              <w:left w:val="single" w:sz="8" w:space="0" w:color="auto"/>
              <w:bottom w:val="single" w:sz="8" w:space="0" w:color="auto"/>
              <w:right w:val="single" w:sz="8" w:space="0" w:color="auto"/>
            </w:tcBorders>
            <w:shd w:val="clear" w:color="auto" w:fill="auto"/>
            <w:noWrap/>
            <w:vAlign w:val="center"/>
            <w:hideMark/>
          </w:tcPr>
          <w:p w14:paraId="18074C2C"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 xml:space="preserve">Prestamos de la Deuda Pública Interna por Pagar a Largo Plazo </w:t>
            </w:r>
          </w:p>
        </w:tc>
        <w:tc>
          <w:tcPr>
            <w:tcW w:w="1738" w:type="dxa"/>
            <w:tcBorders>
              <w:top w:val="nil"/>
              <w:left w:val="nil"/>
              <w:bottom w:val="single" w:sz="8" w:space="0" w:color="auto"/>
              <w:right w:val="single" w:sz="8" w:space="0" w:color="auto"/>
            </w:tcBorders>
            <w:shd w:val="clear" w:color="000000" w:fill="FFFFFF"/>
            <w:noWrap/>
            <w:vAlign w:val="center"/>
            <w:hideMark/>
          </w:tcPr>
          <w:p w14:paraId="6B01F3AC"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14,675,139,868</w:t>
            </w:r>
          </w:p>
        </w:tc>
        <w:tc>
          <w:tcPr>
            <w:tcW w:w="1731" w:type="dxa"/>
            <w:tcBorders>
              <w:top w:val="nil"/>
              <w:left w:val="nil"/>
              <w:bottom w:val="single" w:sz="8" w:space="0" w:color="auto"/>
              <w:right w:val="single" w:sz="8" w:space="0" w:color="auto"/>
            </w:tcBorders>
            <w:shd w:val="clear" w:color="000000" w:fill="FFFFFF"/>
            <w:noWrap/>
            <w:vAlign w:val="center"/>
            <w:hideMark/>
          </w:tcPr>
          <w:p w14:paraId="44EDF675"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14,899,240,652</w:t>
            </w:r>
          </w:p>
        </w:tc>
      </w:tr>
      <w:tr w:rsidR="00D05661" w:rsidRPr="00726BD5" w14:paraId="5837B350" w14:textId="77777777" w:rsidTr="00BE0300">
        <w:trPr>
          <w:trHeight w:val="306"/>
        </w:trPr>
        <w:tc>
          <w:tcPr>
            <w:tcW w:w="5555" w:type="dxa"/>
            <w:tcBorders>
              <w:top w:val="nil"/>
              <w:left w:val="single" w:sz="8" w:space="0" w:color="auto"/>
              <w:bottom w:val="single" w:sz="8" w:space="0" w:color="auto"/>
              <w:right w:val="single" w:sz="8" w:space="0" w:color="auto"/>
            </w:tcBorders>
            <w:shd w:val="clear" w:color="000000" w:fill="FFFFFF"/>
            <w:noWrap/>
            <w:vAlign w:val="center"/>
            <w:hideMark/>
          </w:tcPr>
          <w:p w14:paraId="51E6E1D3" w14:textId="745A7F31" w:rsidR="00D05661" w:rsidRPr="00726BD5" w:rsidRDefault="00C33ACA" w:rsidP="00C33ACA">
            <w:pPr>
              <w:rPr>
                <w:rFonts w:ascii="Montserrat" w:eastAsia="Times New Roman" w:hAnsi="Montserrat" w:cs="Arial"/>
                <w:b/>
                <w:bCs/>
                <w:color w:val="000000"/>
                <w:lang w:val="es-MX"/>
              </w:rPr>
            </w:pPr>
            <w:r>
              <w:rPr>
                <w:rFonts w:ascii="Montserrat" w:eastAsia="Times New Roman" w:hAnsi="Montserrat" w:cs="Arial"/>
                <w:b/>
                <w:bCs/>
                <w:color w:val="000000"/>
                <w:lang w:val="es-MX"/>
              </w:rPr>
              <w:t xml:space="preserve">Total de </w:t>
            </w:r>
            <w:r w:rsidRPr="00726BD5">
              <w:rPr>
                <w:rFonts w:ascii="Montserrat" w:hAnsi="Montserrat"/>
                <w:b/>
              </w:rPr>
              <w:t>Deuda Pública a Largo Plazo</w:t>
            </w:r>
          </w:p>
        </w:tc>
        <w:tc>
          <w:tcPr>
            <w:tcW w:w="1738" w:type="dxa"/>
            <w:tcBorders>
              <w:top w:val="nil"/>
              <w:left w:val="nil"/>
              <w:bottom w:val="single" w:sz="8" w:space="0" w:color="auto"/>
              <w:right w:val="single" w:sz="8" w:space="0" w:color="auto"/>
            </w:tcBorders>
            <w:shd w:val="clear" w:color="000000" w:fill="FFFFFF"/>
            <w:noWrap/>
            <w:vAlign w:val="center"/>
            <w:hideMark/>
          </w:tcPr>
          <w:p w14:paraId="21724B13"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14,675,139,868</w:t>
            </w:r>
          </w:p>
        </w:tc>
        <w:tc>
          <w:tcPr>
            <w:tcW w:w="1731" w:type="dxa"/>
            <w:tcBorders>
              <w:top w:val="nil"/>
              <w:left w:val="nil"/>
              <w:bottom w:val="single" w:sz="8" w:space="0" w:color="auto"/>
              <w:right w:val="single" w:sz="8" w:space="0" w:color="auto"/>
            </w:tcBorders>
            <w:shd w:val="clear" w:color="000000" w:fill="FFFFFF"/>
            <w:noWrap/>
            <w:vAlign w:val="center"/>
            <w:hideMark/>
          </w:tcPr>
          <w:p w14:paraId="38B6CF33"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14,899,240,652</w:t>
            </w:r>
          </w:p>
        </w:tc>
      </w:tr>
    </w:tbl>
    <w:p w14:paraId="6BE6F175" w14:textId="77777777" w:rsidR="00D05661" w:rsidRPr="00726BD5" w:rsidRDefault="00D05661" w:rsidP="00D05661">
      <w:pPr>
        <w:jc w:val="center"/>
        <w:rPr>
          <w:rFonts w:ascii="Montserrat" w:hAnsi="Montserrat"/>
          <w:b/>
        </w:rPr>
      </w:pPr>
    </w:p>
    <w:p w14:paraId="15C9F6D7" w14:textId="77777777" w:rsidR="00D05661" w:rsidRPr="00726BD5" w:rsidRDefault="00D05661" w:rsidP="00D05661">
      <w:pPr>
        <w:rPr>
          <w:rFonts w:ascii="Montserrat" w:hAnsi="Montserrat"/>
        </w:rPr>
      </w:pPr>
    </w:p>
    <w:p w14:paraId="000F47CA" w14:textId="77777777" w:rsidR="00D05661" w:rsidRPr="00726BD5" w:rsidRDefault="00D05661" w:rsidP="00D05661">
      <w:pPr>
        <w:jc w:val="both"/>
        <w:rPr>
          <w:rFonts w:ascii="Montserrat" w:hAnsi="Montserrat"/>
          <w:b/>
        </w:rPr>
      </w:pPr>
      <w:bookmarkStart w:id="20" w:name="_Hlk157392040"/>
      <w:r w:rsidRPr="00726BD5">
        <w:rPr>
          <w:rFonts w:ascii="Montserrat" w:hAnsi="Montserrat"/>
          <w:b/>
        </w:rPr>
        <w:t>Nota 18.- Fondos y Bienes de Terceros en Garantía y/o en Administración a Largo Plazo.</w:t>
      </w:r>
    </w:p>
    <w:bookmarkEnd w:id="20"/>
    <w:p w14:paraId="6541ADE7" w14:textId="77777777" w:rsidR="00D05661" w:rsidRPr="00726BD5" w:rsidRDefault="00D05661" w:rsidP="00D05661">
      <w:pPr>
        <w:jc w:val="both"/>
        <w:rPr>
          <w:rFonts w:ascii="Montserrat" w:hAnsi="Montserrat"/>
          <w:b/>
        </w:rPr>
      </w:pPr>
    </w:p>
    <w:p w14:paraId="23B9667D" w14:textId="77777777" w:rsidR="00D05661" w:rsidRPr="00726BD5" w:rsidRDefault="00D05661" w:rsidP="00D05661">
      <w:pPr>
        <w:jc w:val="both"/>
        <w:rPr>
          <w:rFonts w:ascii="Montserrat" w:hAnsi="Montserrat"/>
        </w:rPr>
      </w:pPr>
      <w:r w:rsidRPr="00726BD5">
        <w:rPr>
          <w:rFonts w:ascii="Montserrat" w:hAnsi="Montserrat"/>
        </w:rPr>
        <w:t>El saldo Al 30 de junio de 2025 y 2024 de las cuentas que integra este rubro, representa el monto de los fondos y bienes propiedad de terceros, en garantía de cumplimiento de obligaciones contractuales o legales, en un plazo mayor de doce meses. A continuación, se presenta la integración de este rubro:</w:t>
      </w:r>
    </w:p>
    <w:p w14:paraId="1A9D9C49" w14:textId="77777777" w:rsidR="00D05661" w:rsidRPr="00726BD5" w:rsidRDefault="00D05661" w:rsidP="00D05661">
      <w:pPr>
        <w:rPr>
          <w:rFonts w:ascii="Montserrat" w:hAnsi="Montserrat"/>
        </w:rPr>
      </w:pPr>
    </w:p>
    <w:p w14:paraId="2B814BF3" w14:textId="77777777" w:rsidR="00D05661" w:rsidRPr="00726BD5" w:rsidRDefault="00D05661" w:rsidP="00D05661">
      <w:pPr>
        <w:jc w:val="center"/>
        <w:rPr>
          <w:rFonts w:ascii="Montserrat" w:hAnsi="Montserrat"/>
          <w:b/>
        </w:rPr>
      </w:pPr>
      <w:r w:rsidRPr="00726BD5">
        <w:rPr>
          <w:rFonts w:ascii="Montserrat" w:hAnsi="Montserrat"/>
          <w:b/>
        </w:rPr>
        <w:t>(Pesos)</w:t>
      </w:r>
    </w:p>
    <w:tbl>
      <w:tblPr>
        <w:tblW w:w="894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92"/>
        <w:gridCol w:w="2237"/>
        <w:gridCol w:w="2220"/>
      </w:tblGrid>
      <w:tr w:rsidR="00D05661" w:rsidRPr="00726BD5" w14:paraId="2D88C8F5" w14:textId="77777777" w:rsidTr="00C33ACA">
        <w:trPr>
          <w:trHeight w:val="303"/>
        </w:trPr>
        <w:tc>
          <w:tcPr>
            <w:tcW w:w="4492" w:type="dxa"/>
            <w:shd w:val="clear" w:color="auto" w:fill="D9D9D9" w:themeFill="background1" w:themeFillShade="D9"/>
            <w:vAlign w:val="center"/>
            <w:hideMark/>
          </w:tcPr>
          <w:p w14:paraId="1A4B824B" w14:textId="77777777" w:rsidR="00D05661" w:rsidRPr="00726BD5" w:rsidRDefault="00D05661" w:rsidP="00BE0300">
            <w:pPr>
              <w:jc w:val="center"/>
              <w:rPr>
                <w:rFonts w:ascii="Montserrat" w:eastAsia="Times New Roman" w:hAnsi="Montserrat" w:cs="Arial"/>
                <w:b/>
                <w:bCs/>
                <w:lang w:val="es-MX"/>
              </w:rPr>
            </w:pPr>
            <w:bookmarkStart w:id="21" w:name="_Hlk157392110"/>
            <w:r w:rsidRPr="00726BD5">
              <w:rPr>
                <w:rFonts w:ascii="Montserrat" w:eastAsia="Times New Roman" w:hAnsi="Montserrat" w:cs="Arial"/>
                <w:b/>
                <w:bCs/>
                <w:lang w:val="es-MX"/>
              </w:rPr>
              <w:t>Concepto</w:t>
            </w:r>
          </w:p>
        </w:tc>
        <w:tc>
          <w:tcPr>
            <w:tcW w:w="2237" w:type="dxa"/>
            <w:shd w:val="clear" w:color="auto" w:fill="D9D9D9" w:themeFill="background1" w:themeFillShade="D9"/>
            <w:vAlign w:val="center"/>
            <w:hideMark/>
          </w:tcPr>
          <w:p w14:paraId="5DD248FE"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20" w:type="dxa"/>
            <w:shd w:val="clear" w:color="auto" w:fill="D9D9D9" w:themeFill="background1" w:themeFillShade="D9"/>
            <w:vAlign w:val="center"/>
            <w:hideMark/>
          </w:tcPr>
          <w:p w14:paraId="674718A1"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D05661" w:rsidRPr="00726BD5" w14:paraId="72EEA295" w14:textId="77777777" w:rsidTr="00C33ACA">
        <w:trPr>
          <w:trHeight w:val="289"/>
        </w:trPr>
        <w:tc>
          <w:tcPr>
            <w:tcW w:w="4492" w:type="dxa"/>
            <w:shd w:val="clear" w:color="000000" w:fill="FFFFFF"/>
            <w:noWrap/>
            <w:vAlign w:val="center"/>
            <w:hideMark/>
          </w:tcPr>
          <w:p w14:paraId="73922B21"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Fondos en Garantía a Largo Plazo</w:t>
            </w:r>
          </w:p>
        </w:tc>
        <w:tc>
          <w:tcPr>
            <w:tcW w:w="2237" w:type="dxa"/>
            <w:shd w:val="clear" w:color="000000" w:fill="FFFFFF"/>
            <w:noWrap/>
            <w:vAlign w:val="center"/>
            <w:hideMark/>
          </w:tcPr>
          <w:p w14:paraId="498D7FCF"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25,780,533</w:t>
            </w:r>
          </w:p>
        </w:tc>
        <w:tc>
          <w:tcPr>
            <w:tcW w:w="2220" w:type="dxa"/>
            <w:shd w:val="clear" w:color="000000" w:fill="FFFFFF"/>
            <w:noWrap/>
            <w:vAlign w:val="center"/>
            <w:hideMark/>
          </w:tcPr>
          <w:p w14:paraId="546CF48D"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21,557,217</w:t>
            </w:r>
          </w:p>
        </w:tc>
      </w:tr>
      <w:tr w:rsidR="00D05661" w:rsidRPr="00726BD5" w14:paraId="06F18EFF" w14:textId="77777777" w:rsidTr="00C33ACA">
        <w:trPr>
          <w:trHeight w:val="303"/>
        </w:trPr>
        <w:tc>
          <w:tcPr>
            <w:tcW w:w="4492" w:type="dxa"/>
            <w:shd w:val="clear" w:color="000000" w:fill="FFFFFF"/>
            <w:noWrap/>
            <w:vAlign w:val="center"/>
            <w:hideMark/>
          </w:tcPr>
          <w:p w14:paraId="47E01468" w14:textId="243F5394" w:rsidR="00D05661" w:rsidRPr="00C33ACA" w:rsidRDefault="00C33ACA" w:rsidP="00C33ACA">
            <w:pPr>
              <w:rPr>
                <w:rFonts w:ascii="Montserrat" w:eastAsia="Times New Roman" w:hAnsi="Montserrat" w:cs="Arial"/>
                <w:b/>
                <w:bCs/>
                <w:color w:val="000000"/>
                <w:lang w:val="es-MX"/>
              </w:rPr>
            </w:pPr>
            <w:r w:rsidRPr="00C33ACA">
              <w:rPr>
                <w:rFonts w:ascii="Montserrat" w:eastAsia="Times New Roman" w:hAnsi="Montserrat" w:cs="Arial"/>
                <w:b/>
                <w:bCs/>
                <w:color w:val="000000"/>
                <w:lang w:val="es-MX"/>
              </w:rPr>
              <w:t xml:space="preserve">Total de </w:t>
            </w:r>
            <w:r w:rsidRPr="00C33ACA">
              <w:rPr>
                <w:rFonts w:ascii="Montserrat" w:eastAsia="Times New Roman" w:hAnsi="Montserrat" w:cs="Arial"/>
                <w:b/>
                <w:bCs/>
                <w:color w:val="000000"/>
                <w:lang w:val="es-MX"/>
              </w:rPr>
              <w:t>Fondos en Garantía a Largo Plazo</w:t>
            </w:r>
          </w:p>
        </w:tc>
        <w:tc>
          <w:tcPr>
            <w:tcW w:w="2237" w:type="dxa"/>
            <w:shd w:val="clear" w:color="000000" w:fill="FFFFFF"/>
            <w:noWrap/>
            <w:vAlign w:val="center"/>
            <w:hideMark/>
          </w:tcPr>
          <w:p w14:paraId="7A7BB15F"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25,780,533</w:t>
            </w:r>
          </w:p>
        </w:tc>
        <w:tc>
          <w:tcPr>
            <w:tcW w:w="2220" w:type="dxa"/>
            <w:shd w:val="clear" w:color="000000" w:fill="FFFFFF"/>
            <w:noWrap/>
            <w:vAlign w:val="center"/>
            <w:hideMark/>
          </w:tcPr>
          <w:p w14:paraId="7650704F"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21,557,217</w:t>
            </w:r>
          </w:p>
        </w:tc>
      </w:tr>
    </w:tbl>
    <w:p w14:paraId="7C078FB2" w14:textId="77777777" w:rsidR="00D05661" w:rsidRPr="00726BD5" w:rsidRDefault="00D05661" w:rsidP="00D05661">
      <w:pPr>
        <w:rPr>
          <w:rFonts w:ascii="Montserrat" w:hAnsi="Montserrat"/>
          <w:b/>
        </w:rPr>
      </w:pPr>
    </w:p>
    <w:p w14:paraId="49208F4F" w14:textId="77777777" w:rsidR="00D05661" w:rsidRPr="00726BD5" w:rsidRDefault="00D05661" w:rsidP="00D05661">
      <w:pPr>
        <w:rPr>
          <w:rFonts w:ascii="Montserrat" w:hAnsi="Montserrat"/>
          <w:b/>
        </w:rPr>
      </w:pPr>
    </w:p>
    <w:p w14:paraId="0126960E" w14:textId="77777777" w:rsidR="00D05661" w:rsidRPr="00726BD5" w:rsidRDefault="00D05661" w:rsidP="00D05661">
      <w:pPr>
        <w:rPr>
          <w:rFonts w:ascii="Montserrat" w:hAnsi="Montserrat"/>
          <w:b/>
        </w:rPr>
      </w:pPr>
      <w:r w:rsidRPr="00726BD5">
        <w:rPr>
          <w:rFonts w:ascii="Montserrat" w:hAnsi="Montserrat"/>
          <w:b/>
        </w:rPr>
        <w:t>NOTAS AL ESTADO DE VARIACIÓN EN LA HACIENDA PÚBLICA</w:t>
      </w:r>
    </w:p>
    <w:p w14:paraId="40574E15" w14:textId="77777777" w:rsidR="00D05661" w:rsidRPr="00726BD5" w:rsidRDefault="00D05661" w:rsidP="00D05661">
      <w:pPr>
        <w:jc w:val="both"/>
        <w:rPr>
          <w:rFonts w:ascii="Montserrat" w:hAnsi="Montserrat"/>
          <w:b/>
        </w:rPr>
      </w:pPr>
    </w:p>
    <w:p w14:paraId="705B61E8" w14:textId="77777777" w:rsidR="00D05661" w:rsidRPr="00726BD5" w:rsidRDefault="00D05661" w:rsidP="00D05661">
      <w:pPr>
        <w:jc w:val="both"/>
        <w:rPr>
          <w:rFonts w:ascii="Montserrat" w:hAnsi="Montserrat"/>
          <w:b/>
        </w:rPr>
      </w:pPr>
      <w:r w:rsidRPr="00726BD5">
        <w:rPr>
          <w:rFonts w:ascii="Montserrat" w:hAnsi="Montserrat"/>
          <w:b/>
        </w:rPr>
        <w:t>Nota 19.- Variación de la Hacienda Pública/Patrimonio</w:t>
      </w:r>
    </w:p>
    <w:bookmarkEnd w:id="21"/>
    <w:p w14:paraId="7CC7E442" w14:textId="77777777" w:rsidR="00D05661" w:rsidRPr="00726BD5" w:rsidRDefault="00D05661" w:rsidP="00D05661">
      <w:pPr>
        <w:pBdr>
          <w:top w:val="nil"/>
          <w:left w:val="nil"/>
          <w:bottom w:val="nil"/>
          <w:right w:val="nil"/>
          <w:between w:val="nil"/>
        </w:pBdr>
        <w:jc w:val="both"/>
        <w:rPr>
          <w:rFonts w:ascii="Montserrat" w:hAnsi="Montserrat"/>
        </w:rPr>
      </w:pPr>
    </w:p>
    <w:p w14:paraId="1B8CB63C" w14:textId="77777777" w:rsidR="00D05661" w:rsidRPr="00726BD5" w:rsidRDefault="00D05661" w:rsidP="00D05661">
      <w:pPr>
        <w:pBdr>
          <w:top w:val="nil"/>
          <w:left w:val="nil"/>
          <w:bottom w:val="nil"/>
          <w:right w:val="nil"/>
          <w:between w:val="nil"/>
        </w:pBdr>
        <w:jc w:val="both"/>
        <w:rPr>
          <w:rFonts w:ascii="Montserrat" w:hAnsi="Montserrat"/>
        </w:rPr>
      </w:pPr>
      <w:r w:rsidRPr="00726BD5">
        <w:rPr>
          <w:rFonts w:ascii="Montserrat" w:hAnsi="Montserrat"/>
        </w:rPr>
        <w:t>Este Estado Consolidado muestra el monto de la Hacienda Pública/Patrimonio, con relación al Estado de Situación Financiera Consolidado del Poder Ejecutivo al cierre del periodo enero-junio de 2025 y 2024, se integra de la siguiente forma:</w:t>
      </w:r>
    </w:p>
    <w:p w14:paraId="0037D1D3" w14:textId="77777777" w:rsidR="00D05661" w:rsidRPr="00726BD5" w:rsidRDefault="00D05661" w:rsidP="00D05661">
      <w:pPr>
        <w:widowControl w:val="0"/>
        <w:jc w:val="both"/>
        <w:rPr>
          <w:rFonts w:ascii="Montserrat" w:hAnsi="Montserrat"/>
        </w:rPr>
      </w:pPr>
    </w:p>
    <w:p w14:paraId="082C24C6" w14:textId="77777777" w:rsidR="00C33ACA" w:rsidRDefault="00C33ACA" w:rsidP="00D05661">
      <w:pPr>
        <w:widowControl w:val="0"/>
        <w:jc w:val="center"/>
        <w:rPr>
          <w:rFonts w:ascii="Montserrat" w:hAnsi="Montserrat"/>
          <w:b/>
        </w:rPr>
      </w:pPr>
    </w:p>
    <w:p w14:paraId="2277FBB4" w14:textId="77777777" w:rsidR="00C33ACA" w:rsidRDefault="00C33ACA" w:rsidP="00D05661">
      <w:pPr>
        <w:widowControl w:val="0"/>
        <w:jc w:val="center"/>
        <w:rPr>
          <w:rFonts w:ascii="Montserrat" w:hAnsi="Montserrat"/>
          <w:b/>
        </w:rPr>
      </w:pPr>
    </w:p>
    <w:p w14:paraId="78793DB4" w14:textId="208B7E46" w:rsidR="00D05661" w:rsidRPr="00726BD5" w:rsidRDefault="00D05661" w:rsidP="00D05661">
      <w:pPr>
        <w:widowControl w:val="0"/>
        <w:jc w:val="center"/>
        <w:rPr>
          <w:rFonts w:ascii="Montserrat" w:hAnsi="Montserrat"/>
          <w:b/>
        </w:rPr>
      </w:pPr>
      <w:r w:rsidRPr="00726BD5">
        <w:rPr>
          <w:rFonts w:ascii="Montserrat" w:hAnsi="Montserrat"/>
          <w:b/>
        </w:rPr>
        <w:t>(Pesos)</w:t>
      </w:r>
    </w:p>
    <w:tbl>
      <w:tblPr>
        <w:tblW w:w="9024" w:type="dxa"/>
        <w:tblInd w:w="55" w:type="dxa"/>
        <w:tblCellMar>
          <w:left w:w="70" w:type="dxa"/>
          <w:right w:w="70" w:type="dxa"/>
        </w:tblCellMar>
        <w:tblLook w:val="04A0" w:firstRow="1" w:lastRow="0" w:firstColumn="1" w:lastColumn="0" w:noHBand="0" w:noVBand="1"/>
      </w:tblPr>
      <w:tblGrid>
        <w:gridCol w:w="4530"/>
        <w:gridCol w:w="2256"/>
        <w:gridCol w:w="2238"/>
      </w:tblGrid>
      <w:tr w:rsidR="00D05661" w:rsidRPr="00726BD5" w14:paraId="757CF886" w14:textId="77777777" w:rsidTr="005D0CB2">
        <w:trPr>
          <w:trHeight w:val="292"/>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E41091E"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5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007AD54"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3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191126F" w14:textId="77777777" w:rsidR="00D05661" w:rsidRPr="00726BD5" w:rsidRDefault="00D05661" w:rsidP="00BE0300">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D05661" w:rsidRPr="00726BD5" w14:paraId="2195F884" w14:textId="77777777" w:rsidTr="00BE0300">
        <w:trPr>
          <w:trHeight w:val="264"/>
        </w:trPr>
        <w:tc>
          <w:tcPr>
            <w:tcW w:w="4530" w:type="dxa"/>
            <w:tcBorders>
              <w:top w:val="nil"/>
              <w:left w:val="single" w:sz="8" w:space="0" w:color="auto"/>
              <w:bottom w:val="single" w:sz="4" w:space="0" w:color="auto"/>
              <w:right w:val="single" w:sz="8" w:space="0" w:color="auto"/>
            </w:tcBorders>
            <w:shd w:val="clear" w:color="000000" w:fill="FFFFFF"/>
            <w:vAlign w:val="center"/>
            <w:hideMark/>
          </w:tcPr>
          <w:p w14:paraId="5657301A"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Hacienda Pública/Patrimonio Contribuido</w:t>
            </w:r>
          </w:p>
        </w:tc>
        <w:tc>
          <w:tcPr>
            <w:tcW w:w="2256" w:type="dxa"/>
            <w:tcBorders>
              <w:top w:val="nil"/>
              <w:left w:val="nil"/>
              <w:bottom w:val="single" w:sz="4" w:space="0" w:color="auto"/>
              <w:right w:val="single" w:sz="8" w:space="0" w:color="auto"/>
            </w:tcBorders>
            <w:shd w:val="clear" w:color="000000" w:fill="FFFFFF"/>
            <w:noWrap/>
            <w:vAlign w:val="center"/>
            <w:hideMark/>
          </w:tcPr>
          <w:p w14:paraId="69DD465C"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6,534,258,696</w:t>
            </w:r>
          </w:p>
        </w:tc>
        <w:tc>
          <w:tcPr>
            <w:tcW w:w="2238" w:type="dxa"/>
            <w:tcBorders>
              <w:top w:val="nil"/>
              <w:left w:val="nil"/>
              <w:bottom w:val="single" w:sz="4" w:space="0" w:color="auto"/>
              <w:right w:val="single" w:sz="8" w:space="0" w:color="auto"/>
            </w:tcBorders>
            <w:shd w:val="clear" w:color="000000" w:fill="FFFFFF"/>
            <w:noWrap/>
            <w:vAlign w:val="center"/>
            <w:hideMark/>
          </w:tcPr>
          <w:p w14:paraId="68E12D5B"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5,550,385,480</w:t>
            </w:r>
          </w:p>
        </w:tc>
      </w:tr>
      <w:tr w:rsidR="00D05661" w:rsidRPr="00726BD5" w14:paraId="0ABC261A" w14:textId="77777777" w:rsidTr="00BE0300">
        <w:trPr>
          <w:trHeight w:val="278"/>
        </w:trPr>
        <w:tc>
          <w:tcPr>
            <w:tcW w:w="4530" w:type="dxa"/>
            <w:tcBorders>
              <w:top w:val="nil"/>
              <w:left w:val="single" w:sz="8" w:space="0" w:color="auto"/>
              <w:bottom w:val="single" w:sz="8" w:space="0" w:color="auto"/>
              <w:right w:val="single" w:sz="8" w:space="0" w:color="auto"/>
            </w:tcBorders>
            <w:shd w:val="clear" w:color="000000" w:fill="FFFFFF"/>
            <w:vAlign w:val="center"/>
            <w:hideMark/>
          </w:tcPr>
          <w:p w14:paraId="116BAE7B" w14:textId="77777777" w:rsidR="00D05661" w:rsidRPr="00726BD5" w:rsidRDefault="00D05661" w:rsidP="00BE0300">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Hacienda Pública/Patrimonio Generado</w:t>
            </w:r>
          </w:p>
        </w:tc>
        <w:tc>
          <w:tcPr>
            <w:tcW w:w="2256" w:type="dxa"/>
            <w:tcBorders>
              <w:top w:val="nil"/>
              <w:left w:val="nil"/>
              <w:bottom w:val="single" w:sz="8" w:space="0" w:color="auto"/>
              <w:right w:val="single" w:sz="8" w:space="0" w:color="auto"/>
            </w:tcBorders>
            <w:shd w:val="clear" w:color="000000" w:fill="FFFFFF"/>
            <w:noWrap/>
            <w:vAlign w:val="center"/>
            <w:hideMark/>
          </w:tcPr>
          <w:p w14:paraId="6B1165F2"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18,923,167,317</w:t>
            </w:r>
          </w:p>
        </w:tc>
        <w:tc>
          <w:tcPr>
            <w:tcW w:w="2238" w:type="dxa"/>
            <w:tcBorders>
              <w:top w:val="nil"/>
              <w:left w:val="nil"/>
              <w:bottom w:val="single" w:sz="8" w:space="0" w:color="auto"/>
              <w:right w:val="single" w:sz="8" w:space="0" w:color="auto"/>
            </w:tcBorders>
            <w:shd w:val="clear" w:color="000000" w:fill="FFFFFF"/>
            <w:noWrap/>
            <w:vAlign w:val="center"/>
            <w:hideMark/>
          </w:tcPr>
          <w:p w14:paraId="1580D6C6" w14:textId="77777777" w:rsidR="00D05661" w:rsidRPr="00726BD5" w:rsidRDefault="00D05661" w:rsidP="00BE0300">
            <w:pPr>
              <w:jc w:val="right"/>
              <w:rPr>
                <w:rFonts w:ascii="Montserrat" w:eastAsia="Times New Roman" w:hAnsi="Montserrat" w:cs="Arial"/>
                <w:color w:val="000000"/>
                <w:lang w:val="es-MX"/>
              </w:rPr>
            </w:pPr>
            <w:r w:rsidRPr="00726BD5">
              <w:rPr>
                <w:rFonts w:ascii="Montserrat" w:eastAsia="Times New Roman" w:hAnsi="Montserrat" w:cs="Arial"/>
                <w:color w:val="000000"/>
                <w:lang w:val="es-MX"/>
              </w:rPr>
              <w:t>16,894,032,640</w:t>
            </w:r>
          </w:p>
        </w:tc>
      </w:tr>
      <w:tr w:rsidR="00D05661" w:rsidRPr="00726BD5" w14:paraId="35A19F47" w14:textId="77777777" w:rsidTr="00BE0300">
        <w:trPr>
          <w:trHeight w:val="292"/>
        </w:trPr>
        <w:tc>
          <w:tcPr>
            <w:tcW w:w="4530" w:type="dxa"/>
            <w:tcBorders>
              <w:top w:val="nil"/>
              <w:left w:val="single" w:sz="8" w:space="0" w:color="auto"/>
              <w:bottom w:val="single" w:sz="8" w:space="0" w:color="auto"/>
              <w:right w:val="single" w:sz="8" w:space="0" w:color="auto"/>
            </w:tcBorders>
            <w:shd w:val="clear" w:color="000000" w:fill="FFFFFF"/>
            <w:noWrap/>
            <w:vAlign w:val="center"/>
            <w:hideMark/>
          </w:tcPr>
          <w:p w14:paraId="6F0E6173" w14:textId="4C404F07" w:rsidR="00D05661" w:rsidRPr="00726BD5" w:rsidRDefault="00C33ACA" w:rsidP="00C33ACA">
            <w:pPr>
              <w:rPr>
                <w:rFonts w:ascii="Montserrat" w:eastAsia="Times New Roman" w:hAnsi="Montserrat" w:cs="Arial"/>
                <w:b/>
                <w:bCs/>
                <w:color w:val="000000"/>
                <w:lang w:val="es-MX"/>
              </w:rPr>
            </w:pPr>
            <w:r>
              <w:rPr>
                <w:rFonts w:ascii="Montserrat" w:eastAsia="Times New Roman" w:hAnsi="Montserrat" w:cs="Arial"/>
                <w:b/>
                <w:bCs/>
                <w:color w:val="000000"/>
                <w:lang w:val="es-MX"/>
              </w:rPr>
              <w:t>Total de</w:t>
            </w:r>
            <w:r w:rsidRPr="00C33ACA">
              <w:rPr>
                <w:rFonts w:ascii="Montserrat" w:eastAsia="Times New Roman" w:hAnsi="Montserrat" w:cs="Arial"/>
                <w:b/>
                <w:bCs/>
                <w:color w:val="000000"/>
                <w:lang w:val="es-MX"/>
              </w:rPr>
              <w:t xml:space="preserve"> </w:t>
            </w:r>
            <w:r w:rsidRPr="00C33ACA">
              <w:rPr>
                <w:rFonts w:ascii="Montserrat" w:eastAsia="Times New Roman" w:hAnsi="Montserrat" w:cs="Arial"/>
                <w:b/>
                <w:bCs/>
                <w:color w:val="000000"/>
                <w:lang w:val="es-MX"/>
              </w:rPr>
              <w:t>Fondos en Garantía a Largo Plazo</w:t>
            </w:r>
          </w:p>
        </w:tc>
        <w:tc>
          <w:tcPr>
            <w:tcW w:w="2256" w:type="dxa"/>
            <w:tcBorders>
              <w:top w:val="nil"/>
              <w:left w:val="nil"/>
              <w:bottom w:val="single" w:sz="8" w:space="0" w:color="auto"/>
              <w:right w:val="single" w:sz="8" w:space="0" w:color="auto"/>
            </w:tcBorders>
            <w:shd w:val="clear" w:color="000000" w:fill="FFFFFF"/>
            <w:noWrap/>
            <w:vAlign w:val="center"/>
            <w:hideMark/>
          </w:tcPr>
          <w:p w14:paraId="15BD66DA"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25,457,426,013</w:t>
            </w:r>
          </w:p>
        </w:tc>
        <w:tc>
          <w:tcPr>
            <w:tcW w:w="2238" w:type="dxa"/>
            <w:tcBorders>
              <w:top w:val="nil"/>
              <w:left w:val="nil"/>
              <w:bottom w:val="single" w:sz="8" w:space="0" w:color="auto"/>
              <w:right w:val="single" w:sz="8" w:space="0" w:color="auto"/>
            </w:tcBorders>
            <w:shd w:val="clear" w:color="000000" w:fill="FFFFFF"/>
            <w:noWrap/>
            <w:vAlign w:val="center"/>
            <w:hideMark/>
          </w:tcPr>
          <w:p w14:paraId="1E1F663B" w14:textId="77777777" w:rsidR="00D05661" w:rsidRPr="00726BD5" w:rsidRDefault="00D05661" w:rsidP="00BE0300">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22,444,418,120</w:t>
            </w:r>
          </w:p>
        </w:tc>
      </w:tr>
    </w:tbl>
    <w:p w14:paraId="14684954" w14:textId="77777777" w:rsidR="00D05661" w:rsidRPr="00726BD5" w:rsidRDefault="00D05661" w:rsidP="00D05661">
      <w:pPr>
        <w:widowControl w:val="0"/>
        <w:jc w:val="both"/>
        <w:rPr>
          <w:rFonts w:ascii="Montserrat" w:hAnsi="Montserrat"/>
        </w:rPr>
      </w:pPr>
    </w:p>
    <w:p w14:paraId="7FD1C985" w14:textId="77777777" w:rsidR="00D05661" w:rsidRPr="00726BD5" w:rsidRDefault="00D05661" w:rsidP="00D05661">
      <w:pPr>
        <w:widowControl w:val="0"/>
        <w:jc w:val="both"/>
        <w:rPr>
          <w:rFonts w:ascii="Montserrat" w:hAnsi="Montserrat"/>
        </w:rPr>
      </w:pPr>
    </w:p>
    <w:p w14:paraId="2E2CE163" w14:textId="77777777" w:rsidR="00D05661" w:rsidRPr="00726BD5" w:rsidRDefault="00D05661" w:rsidP="00D05661">
      <w:pPr>
        <w:keepNext/>
        <w:rPr>
          <w:rFonts w:ascii="Montserrat" w:hAnsi="Montserrat"/>
          <w:b/>
        </w:rPr>
      </w:pPr>
      <w:bookmarkStart w:id="22" w:name="_Hlk157392194"/>
      <w:r w:rsidRPr="00726BD5">
        <w:rPr>
          <w:rFonts w:ascii="Montserrat" w:hAnsi="Montserrat"/>
          <w:b/>
        </w:rPr>
        <w:t xml:space="preserve">NOTAS AL ESTADO DE FLUJOS DE EFECTIVO </w:t>
      </w:r>
    </w:p>
    <w:p w14:paraId="0ACF665D" w14:textId="77777777" w:rsidR="00D05661" w:rsidRPr="00726BD5" w:rsidRDefault="00D05661" w:rsidP="00D05661">
      <w:pPr>
        <w:keepNext/>
        <w:rPr>
          <w:rFonts w:ascii="Montserrat" w:hAnsi="Montserrat"/>
          <w:b/>
        </w:rPr>
      </w:pPr>
    </w:p>
    <w:p w14:paraId="5196B7A1" w14:textId="77777777" w:rsidR="00D05661" w:rsidRPr="00726BD5" w:rsidRDefault="00D05661" w:rsidP="00D05661">
      <w:pPr>
        <w:rPr>
          <w:rFonts w:ascii="Montserrat" w:hAnsi="Montserrat"/>
          <w:b/>
        </w:rPr>
      </w:pPr>
      <w:r w:rsidRPr="00726BD5">
        <w:rPr>
          <w:rFonts w:ascii="Montserrat" w:hAnsi="Montserrat"/>
          <w:b/>
        </w:rPr>
        <w:t>Nota 20.- Estado de Flujos de Efectivo.</w:t>
      </w:r>
    </w:p>
    <w:p w14:paraId="1E0F7E05" w14:textId="77777777" w:rsidR="00D05661" w:rsidRPr="00726BD5" w:rsidRDefault="00D05661" w:rsidP="00D05661">
      <w:pPr>
        <w:widowControl w:val="0"/>
        <w:jc w:val="both"/>
        <w:rPr>
          <w:rFonts w:ascii="Montserrat" w:hAnsi="Montserrat"/>
        </w:rPr>
      </w:pPr>
    </w:p>
    <w:bookmarkEnd w:id="22"/>
    <w:p w14:paraId="53625A2F" w14:textId="77777777" w:rsidR="00D05661" w:rsidRPr="00726BD5" w:rsidRDefault="00D05661" w:rsidP="00D05661">
      <w:pPr>
        <w:widowControl w:val="0"/>
        <w:jc w:val="both"/>
        <w:rPr>
          <w:rFonts w:ascii="Montserrat" w:hAnsi="Montserrat"/>
        </w:rPr>
      </w:pPr>
      <w:r w:rsidRPr="00726BD5">
        <w:rPr>
          <w:rFonts w:ascii="Montserrat" w:hAnsi="Montserrat"/>
        </w:rPr>
        <w:t>El Estado de Flujos de Efectivo, muestra el análisis de los saldos inicial y final que figuran en la última parte del estado de Flujos de Efectivo, conformado por los elementos básicos de origen y aplicación de recursos, los cuales representan el rubro de Efectivo y Equivalentes mostrado en el Estado de Situación Financiera Consolidado como efectivo disponible del Poder Ejecutivo al cierre del periodo enero-junio de 2025 y 2024, mostrado de la siguiente manera:</w:t>
      </w:r>
    </w:p>
    <w:p w14:paraId="7F2AAB24" w14:textId="77777777" w:rsidR="00D05661" w:rsidRPr="00726BD5" w:rsidRDefault="00D05661" w:rsidP="00D05661">
      <w:pPr>
        <w:widowControl w:val="0"/>
        <w:jc w:val="both"/>
        <w:rPr>
          <w:rFonts w:ascii="Montserrat" w:hAnsi="Montserrat"/>
        </w:rPr>
      </w:pPr>
    </w:p>
    <w:p w14:paraId="22F47DC4" w14:textId="77777777" w:rsidR="00D05661" w:rsidRPr="00726BD5" w:rsidRDefault="00D05661" w:rsidP="00D05661">
      <w:pPr>
        <w:pBdr>
          <w:top w:val="nil"/>
          <w:left w:val="nil"/>
          <w:bottom w:val="nil"/>
          <w:right w:val="nil"/>
          <w:between w:val="nil"/>
        </w:pBdr>
        <w:jc w:val="center"/>
        <w:rPr>
          <w:rFonts w:ascii="Montserrat" w:hAnsi="Montserrat"/>
          <w:color w:val="000000"/>
        </w:rPr>
      </w:pPr>
      <w:bookmarkStart w:id="23" w:name="_Hlk157392310"/>
      <w:r w:rsidRPr="00726BD5">
        <w:rPr>
          <w:rFonts w:ascii="Montserrat" w:hAnsi="Montserrat"/>
          <w:b/>
          <w:color w:val="000000"/>
        </w:rPr>
        <w:t>(Pesos)</w:t>
      </w:r>
    </w:p>
    <w:tbl>
      <w:tblPr>
        <w:tblW w:w="8930" w:type="dxa"/>
        <w:tblInd w:w="55" w:type="dxa"/>
        <w:tblCellMar>
          <w:left w:w="70" w:type="dxa"/>
          <w:right w:w="70" w:type="dxa"/>
        </w:tblCellMar>
        <w:tblLook w:val="04A0" w:firstRow="1" w:lastRow="0" w:firstColumn="1" w:lastColumn="0" w:noHBand="0" w:noVBand="1"/>
      </w:tblPr>
      <w:tblGrid>
        <w:gridCol w:w="4482"/>
        <w:gridCol w:w="2232"/>
        <w:gridCol w:w="2216"/>
      </w:tblGrid>
      <w:tr w:rsidR="00D05661" w:rsidRPr="00726BD5" w14:paraId="6D4394EA" w14:textId="77777777" w:rsidTr="005D0CB2">
        <w:trPr>
          <w:trHeight w:val="332"/>
        </w:trPr>
        <w:tc>
          <w:tcPr>
            <w:tcW w:w="8930" w:type="dxa"/>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8897B15" w14:textId="77777777" w:rsidR="00D05661" w:rsidRPr="00726BD5" w:rsidRDefault="00D05661" w:rsidP="00BE0300">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Efectivo y Equivalentes</w:t>
            </w:r>
          </w:p>
        </w:tc>
      </w:tr>
      <w:tr w:rsidR="00D05661" w:rsidRPr="00726BD5" w14:paraId="74CF8FBA" w14:textId="77777777" w:rsidTr="005D0CB2">
        <w:trPr>
          <w:trHeight w:val="332"/>
        </w:trPr>
        <w:tc>
          <w:tcPr>
            <w:tcW w:w="448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4B4CF5D" w14:textId="77777777" w:rsidR="00D05661" w:rsidRPr="00726BD5" w:rsidRDefault="00D05661" w:rsidP="00BE0300">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Concepto</w:t>
            </w:r>
          </w:p>
        </w:tc>
        <w:tc>
          <w:tcPr>
            <w:tcW w:w="2232" w:type="dxa"/>
            <w:tcBorders>
              <w:top w:val="nil"/>
              <w:left w:val="nil"/>
              <w:bottom w:val="single" w:sz="8" w:space="0" w:color="auto"/>
              <w:right w:val="single" w:sz="8" w:space="0" w:color="auto"/>
            </w:tcBorders>
            <w:shd w:val="clear" w:color="auto" w:fill="D9D9D9" w:themeFill="background1" w:themeFillShade="D9"/>
            <w:vAlign w:val="center"/>
            <w:hideMark/>
          </w:tcPr>
          <w:p w14:paraId="37841474" w14:textId="77777777" w:rsidR="00D05661" w:rsidRPr="00726BD5" w:rsidRDefault="00D05661" w:rsidP="00BE0300">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2025</w:t>
            </w:r>
          </w:p>
        </w:tc>
        <w:tc>
          <w:tcPr>
            <w:tcW w:w="2215" w:type="dxa"/>
            <w:tcBorders>
              <w:top w:val="nil"/>
              <w:left w:val="nil"/>
              <w:bottom w:val="single" w:sz="8" w:space="0" w:color="auto"/>
              <w:right w:val="single" w:sz="8" w:space="0" w:color="auto"/>
            </w:tcBorders>
            <w:shd w:val="clear" w:color="auto" w:fill="D9D9D9" w:themeFill="background1" w:themeFillShade="D9"/>
            <w:vAlign w:val="center"/>
            <w:hideMark/>
          </w:tcPr>
          <w:p w14:paraId="61116EAB" w14:textId="77777777" w:rsidR="00D05661" w:rsidRPr="00726BD5" w:rsidRDefault="00D05661" w:rsidP="00BE0300">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2024</w:t>
            </w:r>
          </w:p>
        </w:tc>
      </w:tr>
      <w:tr w:rsidR="00D05661" w:rsidRPr="00726BD5" w14:paraId="546C38C5" w14:textId="77777777" w:rsidTr="00BE0300">
        <w:trPr>
          <w:trHeight w:val="332"/>
        </w:trPr>
        <w:tc>
          <w:tcPr>
            <w:tcW w:w="4482" w:type="dxa"/>
            <w:tcBorders>
              <w:top w:val="nil"/>
              <w:left w:val="single" w:sz="8" w:space="0" w:color="auto"/>
              <w:bottom w:val="single" w:sz="8" w:space="0" w:color="auto"/>
              <w:right w:val="single" w:sz="8" w:space="0" w:color="auto"/>
            </w:tcBorders>
            <w:shd w:val="clear" w:color="auto" w:fill="auto"/>
            <w:vAlign w:val="center"/>
            <w:hideMark/>
          </w:tcPr>
          <w:p w14:paraId="59C9CB34" w14:textId="77777777" w:rsidR="00D05661" w:rsidRPr="00726BD5" w:rsidRDefault="00D05661" w:rsidP="00BE0300">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Efectivo</w:t>
            </w:r>
          </w:p>
        </w:tc>
        <w:tc>
          <w:tcPr>
            <w:tcW w:w="2232" w:type="dxa"/>
            <w:tcBorders>
              <w:top w:val="nil"/>
              <w:left w:val="nil"/>
              <w:bottom w:val="single" w:sz="8" w:space="0" w:color="auto"/>
              <w:right w:val="single" w:sz="8" w:space="0" w:color="auto"/>
            </w:tcBorders>
            <w:shd w:val="clear" w:color="auto" w:fill="auto"/>
            <w:vAlign w:val="center"/>
            <w:hideMark/>
          </w:tcPr>
          <w:p w14:paraId="2D8574D1"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597,823</w:t>
            </w:r>
          </w:p>
        </w:tc>
        <w:tc>
          <w:tcPr>
            <w:tcW w:w="2215" w:type="dxa"/>
            <w:tcBorders>
              <w:top w:val="nil"/>
              <w:left w:val="nil"/>
              <w:bottom w:val="single" w:sz="8" w:space="0" w:color="auto"/>
              <w:right w:val="single" w:sz="8" w:space="0" w:color="auto"/>
            </w:tcBorders>
            <w:shd w:val="clear" w:color="auto" w:fill="auto"/>
            <w:vAlign w:val="center"/>
            <w:hideMark/>
          </w:tcPr>
          <w:p w14:paraId="73DF311E"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570,671</w:t>
            </w:r>
          </w:p>
        </w:tc>
      </w:tr>
      <w:tr w:rsidR="00D05661" w:rsidRPr="00726BD5" w14:paraId="74D028EC" w14:textId="77777777" w:rsidTr="00BE0300">
        <w:trPr>
          <w:trHeight w:val="332"/>
        </w:trPr>
        <w:tc>
          <w:tcPr>
            <w:tcW w:w="4482" w:type="dxa"/>
            <w:tcBorders>
              <w:top w:val="nil"/>
              <w:left w:val="single" w:sz="8" w:space="0" w:color="auto"/>
              <w:bottom w:val="single" w:sz="8" w:space="0" w:color="auto"/>
              <w:right w:val="single" w:sz="8" w:space="0" w:color="auto"/>
            </w:tcBorders>
            <w:shd w:val="clear" w:color="auto" w:fill="auto"/>
            <w:vAlign w:val="center"/>
            <w:hideMark/>
          </w:tcPr>
          <w:p w14:paraId="56CAB48F" w14:textId="77777777" w:rsidR="00D05661" w:rsidRPr="00726BD5" w:rsidRDefault="00D05661" w:rsidP="00BE0300">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Bancos/Tesorería</w:t>
            </w:r>
          </w:p>
        </w:tc>
        <w:tc>
          <w:tcPr>
            <w:tcW w:w="2232" w:type="dxa"/>
            <w:tcBorders>
              <w:top w:val="nil"/>
              <w:left w:val="nil"/>
              <w:bottom w:val="single" w:sz="8" w:space="0" w:color="auto"/>
              <w:right w:val="single" w:sz="8" w:space="0" w:color="auto"/>
            </w:tcBorders>
            <w:shd w:val="clear" w:color="auto" w:fill="auto"/>
            <w:vAlign w:val="center"/>
            <w:hideMark/>
          </w:tcPr>
          <w:p w14:paraId="397DA75E"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4,623,780,983</w:t>
            </w:r>
          </w:p>
        </w:tc>
        <w:tc>
          <w:tcPr>
            <w:tcW w:w="2215" w:type="dxa"/>
            <w:tcBorders>
              <w:top w:val="nil"/>
              <w:left w:val="nil"/>
              <w:bottom w:val="single" w:sz="8" w:space="0" w:color="auto"/>
              <w:right w:val="single" w:sz="8" w:space="0" w:color="auto"/>
            </w:tcBorders>
            <w:shd w:val="clear" w:color="auto" w:fill="auto"/>
            <w:vAlign w:val="center"/>
            <w:hideMark/>
          </w:tcPr>
          <w:p w14:paraId="248A9DB0"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3,443,956,514</w:t>
            </w:r>
          </w:p>
        </w:tc>
      </w:tr>
      <w:tr w:rsidR="00D05661" w:rsidRPr="00726BD5" w14:paraId="2D1FEF9F" w14:textId="77777777" w:rsidTr="00BE0300">
        <w:trPr>
          <w:trHeight w:val="332"/>
        </w:trPr>
        <w:tc>
          <w:tcPr>
            <w:tcW w:w="4482" w:type="dxa"/>
            <w:tcBorders>
              <w:top w:val="nil"/>
              <w:left w:val="single" w:sz="8" w:space="0" w:color="auto"/>
              <w:bottom w:val="single" w:sz="8" w:space="0" w:color="auto"/>
              <w:right w:val="single" w:sz="8" w:space="0" w:color="auto"/>
            </w:tcBorders>
            <w:shd w:val="clear" w:color="auto" w:fill="auto"/>
            <w:vAlign w:val="center"/>
            <w:hideMark/>
          </w:tcPr>
          <w:p w14:paraId="70BEEA94" w14:textId="77777777" w:rsidR="00D05661" w:rsidRPr="00726BD5" w:rsidRDefault="00D05661" w:rsidP="00BE0300">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Bancos/Dependencias y Otros</w:t>
            </w:r>
          </w:p>
        </w:tc>
        <w:tc>
          <w:tcPr>
            <w:tcW w:w="2232" w:type="dxa"/>
            <w:tcBorders>
              <w:top w:val="nil"/>
              <w:left w:val="nil"/>
              <w:bottom w:val="single" w:sz="8" w:space="0" w:color="auto"/>
              <w:right w:val="single" w:sz="8" w:space="0" w:color="auto"/>
            </w:tcBorders>
            <w:shd w:val="clear" w:color="auto" w:fill="auto"/>
            <w:vAlign w:val="center"/>
            <w:hideMark/>
          </w:tcPr>
          <w:p w14:paraId="673A31EA"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551,971,819</w:t>
            </w:r>
          </w:p>
        </w:tc>
        <w:tc>
          <w:tcPr>
            <w:tcW w:w="2215" w:type="dxa"/>
            <w:tcBorders>
              <w:top w:val="nil"/>
              <w:left w:val="nil"/>
              <w:bottom w:val="single" w:sz="8" w:space="0" w:color="auto"/>
              <w:right w:val="single" w:sz="8" w:space="0" w:color="auto"/>
            </w:tcBorders>
            <w:shd w:val="clear" w:color="auto" w:fill="auto"/>
            <w:vAlign w:val="center"/>
            <w:hideMark/>
          </w:tcPr>
          <w:p w14:paraId="3E99CB7A"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659,905,547</w:t>
            </w:r>
          </w:p>
        </w:tc>
      </w:tr>
      <w:tr w:rsidR="00D05661" w:rsidRPr="00726BD5" w14:paraId="5BD4FE63" w14:textId="77777777" w:rsidTr="00BE0300">
        <w:trPr>
          <w:trHeight w:val="332"/>
        </w:trPr>
        <w:tc>
          <w:tcPr>
            <w:tcW w:w="4482" w:type="dxa"/>
            <w:tcBorders>
              <w:top w:val="nil"/>
              <w:left w:val="single" w:sz="8" w:space="0" w:color="auto"/>
              <w:bottom w:val="single" w:sz="8" w:space="0" w:color="auto"/>
              <w:right w:val="single" w:sz="8" w:space="0" w:color="auto"/>
            </w:tcBorders>
            <w:shd w:val="clear" w:color="auto" w:fill="auto"/>
            <w:vAlign w:val="center"/>
            <w:hideMark/>
          </w:tcPr>
          <w:p w14:paraId="3D387A9B" w14:textId="77777777" w:rsidR="00D05661" w:rsidRPr="00726BD5" w:rsidRDefault="00D05661" w:rsidP="00BE0300">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 xml:space="preserve">Inversiones Temporales (Hasta 3 meses) </w:t>
            </w:r>
          </w:p>
        </w:tc>
        <w:tc>
          <w:tcPr>
            <w:tcW w:w="2232" w:type="dxa"/>
            <w:tcBorders>
              <w:top w:val="nil"/>
              <w:left w:val="nil"/>
              <w:bottom w:val="single" w:sz="8" w:space="0" w:color="auto"/>
              <w:right w:val="single" w:sz="8" w:space="0" w:color="auto"/>
            </w:tcBorders>
            <w:shd w:val="clear" w:color="auto" w:fill="auto"/>
            <w:vAlign w:val="center"/>
            <w:hideMark/>
          </w:tcPr>
          <w:p w14:paraId="3AC46FF7"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9,615,348,335</w:t>
            </w:r>
          </w:p>
        </w:tc>
        <w:tc>
          <w:tcPr>
            <w:tcW w:w="2215" w:type="dxa"/>
            <w:tcBorders>
              <w:top w:val="nil"/>
              <w:left w:val="nil"/>
              <w:bottom w:val="single" w:sz="8" w:space="0" w:color="auto"/>
              <w:right w:val="single" w:sz="8" w:space="0" w:color="auto"/>
            </w:tcBorders>
            <w:shd w:val="clear" w:color="auto" w:fill="auto"/>
            <w:vAlign w:val="center"/>
            <w:hideMark/>
          </w:tcPr>
          <w:p w14:paraId="1D08208A"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9,755,474,968</w:t>
            </w:r>
          </w:p>
        </w:tc>
      </w:tr>
      <w:tr w:rsidR="00D05661" w:rsidRPr="00726BD5" w14:paraId="515C3644" w14:textId="77777777" w:rsidTr="00BE0300">
        <w:trPr>
          <w:trHeight w:val="332"/>
        </w:trPr>
        <w:tc>
          <w:tcPr>
            <w:tcW w:w="4482" w:type="dxa"/>
            <w:tcBorders>
              <w:top w:val="nil"/>
              <w:left w:val="single" w:sz="8" w:space="0" w:color="auto"/>
              <w:bottom w:val="single" w:sz="8" w:space="0" w:color="auto"/>
              <w:right w:val="single" w:sz="8" w:space="0" w:color="auto"/>
            </w:tcBorders>
            <w:shd w:val="clear" w:color="auto" w:fill="auto"/>
            <w:vAlign w:val="center"/>
            <w:hideMark/>
          </w:tcPr>
          <w:p w14:paraId="152FF4E8" w14:textId="77777777" w:rsidR="00D05661" w:rsidRPr="00726BD5" w:rsidRDefault="00D05661" w:rsidP="00BE0300">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Fondos con Afectación Específica</w:t>
            </w:r>
          </w:p>
        </w:tc>
        <w:tc>
          <w:tcPr>
            <w:tcW w:w="2232" w:type="dxa"/>
            <w:tcBorders>
              <w:top w:val="nil"/>
              <w:left w:val="nil"/>
              <w:bottom w:val="single" w:sz="8" w:space="0" w:color="auto"/>
              <w:right w:val="single" w:sz="8" w:space="0" w:color="auto"/>
            </w:tcBorders>
            <w:shd w:val="clear" w:color="auto" w:fill="auto"/>
            <w:vAlign w:val="center"/>
            <w:hideMark/>
          </w:tcPr>
          <w:p w14:paraId="6BD3330F"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0</w:t>
            </w:r>
          </w:p>
        </w:tc>
        <w:tc>
          <w:tcPr>
            <w:tcW w:w="2215" w:type="dxa"/>
            <w:tcBorders>
              <w:top w:val="nil"/>
              <w:left w:val="nil"/>
              <w:bottom w:val="single" w:sz="8" w:space="0" w:color="auto"/>
              <w:right w:val="single" w:sz="8" w:space="0" w:color="auto"/>
            </w:tcBorders>
            <w:shd w:val="clear" w:color="auto" w:fill="auto"/>
            <w:vAlign w:val="center"/>
            <w:hideMark/>
          </w:tcPr>
          <w:p w14:paraId="205AAAEE"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0</w:t>
            </w:r>
          </w:p>
        </w:tc>
      </w:tr>
      <w:tr w:rsidR="00D05661" w:rsidRPr="00726BD5" w14:paraId="4A9EA599" w14:textId="77777777" w:rsidTr="00BE0300">
        <w:trPr>
          <w:trHeight w:val="648"/>
        </w:trPr>
        <w:tc>
          <w:tcPr>
            <w:tcW w:w="4482" w:type="dxa"/>
            <w:tcBorders>
              <w:top w:val="nil"/>
              <w:left w:val="single" w:sz="8" w:space="0" w:color="auto"/>
              <w:bottom w:val="single" w:sz="8" w:space="0" w:color="auto"/>
              <w:right w:val="single" w:sz="8" w:space="0" w:color="auto"/>
            </w:tcBorders>
            <w:shd w:val="clear" w:color="auto" w:fill="auto"/>
            <w:vAlign w:val="center"/>
            <w:hideMark/>
          </w:tcPr>
          <w:p w14:paraId="599AA552" w14:textId="77777777" w:rsidR="00D05661" w:rsidRPr="00726BD5" w:rsidRDefault="00D05661" w:rsidP="00BE0300">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Depósitos de Fondos de Terceros en Garantía y/o Administración</w:t>
            </w:r>
          </w:p>
        </w:tc>
        <w:tc>
          <w:tcPr>
            <w:tcW w:w="2232" w:type="dxa"/>
            <w:tcBorders>
              <w:top w:val="nil"/>
              <w:left w:val="nil"/>
              <w:bottom w:val="single" w:sz="8" w:space="0" w:color="auto"/>
              <w:right w:val="single" w:sz="8" w:space="0" w:color="auto"/>
            </w:tcBorders>
            <w:shd w:val="clear" w:color="auto" w:fill="auto"/>
            <w:vAlign w:val="center"/>
            <w:hideMark/>
          </w:tcPr>
          <w:p w14:paraId="1CC513BB"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0</w:t>
            </w:r>
          </w:p>
        </w:tc>
        <w:tc>
          <w:tcPr>
            <w:tcW w:w="2215" w:type="dxa"/>
            <w:tcBorders>
              <w:top w:val="nil"/>
              <w:left w:val="nil"/>
              <w:bottom w:val="single" w:sz="8" w:space="0" w:color="auto"/>
              <w:right w:val="single" w:sz="8" w:space="0" w:color="auto"/>
            </w:tcBorders>
            <w:shd w:val="clear" w:color="auto" w:fill="auto"/>
            <w:vAlign w:val="center"/>
            <w:hideMark/>
          </w:tcPr>
          <w:p w14:paraId="4F92B7B6"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0</w:t>
            </w:r>
          </w:p>
        </w:tc>
      </w:tr>
      <w:tr w:rsidR="00D05661" w:rsidRPr="00726BD5" w14:paraId="5A80DA1D" w14:textId="77777777" w:rsidTr="00BE0300">
        <w:trPr>
          <w:trHeight w:val="332"/>
        </w:trPr>
        <w:tc>
          <w:tcPr>
            <w:tcW w:w="4482" w:type="dxa"/>
            <w:tcBorders>
              <w:top w:val="nil"/>
              <w:left w:val="single" w:sz="8" w:space="0" w:color="auto"/>
              <w:bottom w:val="single" w:sz="8" w:space="0" w:color="auto"/>
              <w:right w:val="single" w:sz="8" w:space="0" w:color="auto"/>
            </w:tcBorders>
            <w:shd w:val="clear" w:color="auto" w:fill="auto"/>
            <w:vAlign w:val="center"/>
            <w:hideMark/>
          </w:tcPr>
          <w:p w14:paraId="4343A850" w14:textId="77777777" w:rsidR="00D05661" w:rsidRPr="00726BD5" w:rsidRDefault="00D05661" w:rsidP="00BE0300">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Otros Efectivos y Equivalentes</w:t>
            </w:r>
          </w:p>
        </w:tc>
        <w:tc>
          <w:tcPr>
            <w:tcW w:w="2232" w:type="dxa"/>
            <w:tcBorders>
              <w:top w:val="nil"/>
              <w:left w:val="nil"/>
              <w:bottom w:val="single" w:sz="8" w:space="0" w:color="auto"/>
              <w:right w:val="single" w:sz="8" w:space="0" w:color="auto"/>
            </w:tcBorders>
            <w:shd w:val="clear" w:color="auto" w:fill="auto"/>
            <w:vAlign w:val="center"/>
            <w:hideMark/>
          </w:tcPr>
          <w:p w14:paraId="159CD4B7"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0</w:t>
            </w:r>
          </w:p>
        </w:tc>
        <w:tc>
          <w:tcPr>
            <w:tcW w:w="2215" w:type="dxa"/>
            <w:tcBorders>
              <w:top w:val="nil"/>
              <w:left w:val="nil"/>
              <w:bottom w:val="single" w:sz="8" w:space="0" w:color="auto"/>
              <w:right w:val="single" w:sz="8" w:space="0" w:color="auto"/>
            </w:tcBorders>
            <w:shd w:val="clear" w:color="auto" w:fill="auto"/>
            <w:vAlign w:val="center"/>
            <w:hideMark/>
          </w:tcPr>
          <w:p w14:paraId="3C99272E" w14:textId="77777777" w:rsidR="00D05661" w:rsidRPr="00726BD5" w:rsidRDefault="00D05661" w:rsidP="00BE0300">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0</w:t>
            </w:r>
          </w:p>
        </w:tc>
      </w:tr>
      <w:tr w:rsidR="00D05661" w:rsidRPr="00726BD5" w14:paraId="3C3D67CC" w14:textId="77777777" w:rsidTr="005D0CB2">
        <w:trPr>
          <w:trHeight w:val="332"/>
        </w:trPr>
        <w:tc>
          <w:tcPr>
            <w:tcW w:w="4482" w:type="dxa"/>
            <w:tcBorders>
              <w:top w:val="nil"/>
              <w:left w:val="single" w:sz="8" w:space="0" w:color="auto"/>
              <w:bottom w:val="single" w:sz="8" w:space="0" w:color="auto"/>
              <w:right w:val="single" w:sz="8" w:space="0" w:color="auto"/>
            </w:tcBorders>
            <w:shd w:val="clear" w:color="auto" w:fill="auto"/>
            <w:vAlign w:val="center"/>
            <w:hideMark/>
          </w:tcPr>
          <w:p w14:paraId="1C3C728A" w14:textId="4EDFFF20" w:rsidR="00D05661" w:rsidRPr="00726BD5" w:rsidRDefault="00C33ACA" w:rsidP="00C33ACA">
            <w:pPr>
              <w:rPr>
                <w:rFonts w:ascii="Montserrat" w:eastAsia="Times New Roman" w:hAnsi="Montserrat" w:cs="Times New Roman"/>
                <w:lang w:val="es-MX"/>
              </w:rPr>
            </w:pPr>
            <w:r>
              <w:rPr>
                <w:rFonts w:ascii="Montserrat" w:eastAsia="Times New Roman" w:hAnsi="Montserrat" w:cs="Times New Roman"/>
                <w:b/>
                <w:bCs/>
                <w:lang w:val="es-MX"/>
              </w:rPr>
              <w:t xml:space="preserve">Total de </w:t>
            </w:r>
            <w:r w:rsidRPr="00726BD5">
              <w:rPr>
                <w:rFonts w:ascii="Montserrat" w:eastAsia="Times New Roman" w:hAnsi="Montserrat" w:cs="Times New Roman"/>
                <w:b/>
                <w:bCs/>
                <w:lang w:val="es-MX"/>
              </w:rPr>
              <w:t>Efectivo y Equivalentes</w:t>
            </w:r>
            <w:r w:rsidRPr="00726BD5">
              <w:rPr>
                <w:rFonts w:ascii="Montserrat" w:eastAsia="Times New Roman" w:hAnsi="Montserrat" w:cs="Times New Roman"/>
                <w:b/>
                <w:bCs/>
                <w:lang w:val="es-MX"/>
              </w:rPr>
              <w:t xml:space="preserve"> </w:t>
            </w:r>
          </w:p>
        </w:tc>
        <w:tc>
          <w:tcPr>
            <w:tcW w:w="2232" w:type="dxa"/>
            <w:tcBorders>
              <w:top w:val="nil"/>
              <w:left w:val="nil"/>
              <w:bottom w:val="single" w:sz="8" w:space="0" w:color="auto"/>
              <w:right w:val="single" w:sz="8" w:space="0" w:color="auto"/>
            </w:tcBorders>
            <w:shd w:val="clear" w:color="auto" w:fill="auto"/>
            <w:vAlign w:val="center"/>
            <w:hideMark/>
          </w:tcPr>
          <w:p w14:paraId="5602D01A" w14:textId="77777777" w:rsidR="00D05661" w:rsidRPr="00726BD5" w:rsidRDefault="00D05661" w:rsidP="00BE0300">
            <w:pPr>
              <w:jc w:val="right"/>
              <w:rPr>
                <w:rFonts w:ascii="Montserrat" w:eastAsia="Times New Roman" w:hAnsi="Montserrat" w:cs="Arial"/>
                <w:b/>
                <w:bCs/>
                <w:lang w:val="es-MX"/>
              </w:rPr>
            </w:pPr>
            <w:r w:rsidRPr="00726BD5">
              <w:rPr>
                <w:rFonts w:ascii="Montserrat" w:eastAsia="Times New Roman" w:hAnsi="Montserrat" w:cs="Arial"/>
                <w:b/>
                <w:bCs/>
                <w:lang w:val="es-MX"/>
              </w:rPr>
              <w:t>14,791,698,960</w:t>
            </w:r>
          </w:p>
        </w:tc>
        <w:tc>
          <w:tcPr>
            <w:tcW w:w="2215" w:type="dxa"/>
            <w:tcBorders>
              <w:top w:val="nil"/>
              <w:left w:val="nil"/>
              <w:bottom w:val="single" w:sz="8" w:space="0" w:color="auto"/>
              <w:right w:val="single" w:sz="8" w:space="0" w:color="auto"/>
            </w:tcBorders>
            <w:shd w:val="clear" w:color="auto" w:fill="auto"/>
            <w:vAlign w:val="center"/>
            <w:hideMark/>
          </w:tcPr>
          <w:p w14:paraId="44F66996" w14:textId="77777777" w:rsidR="00D05661" w:rsidRPr="00726BD5" w:rsidRDefault="00D05661" w:rsidP="00BE0300">
            <w:pPr>
              <w:jc w:val="right"/>
              <w:rPr>
                <w:rFonts w:ascii="Montserrat" w:eastAsia="Times New Roman" w:hAnsi="Montserrat" w:cs="Arial"/>
                <w:b/>
                <w:bCs/>
                <w:lang w:val="es-MX"/>
              </w:rPr>
            </w:pPr>
            <w:r w:rsidRPr="00726BD5">
              <w:rPr>
                <w:rFonts w:ascii="Montserrat" w:eastAsia="Times New Roman" w:hAnsi="Montserrat" w:cs="Arial"/>
                <w:b/>
                <w:bCs/>
                <w:lang w:val="es-MX"/>
              </w:rPr>
              <w:t>13,859,907,700</w:t>
            </w:r>
          </w:p>
        </w:tc>
      </w:tr>
    </w:tbl>
    <w:p w14:paraId="1AC3E1D1" w14:textId="77777777" w:rsidR="00D05661" w:rsidRPr="00726BD5" w:rsidRDefault="00D05661" w:rsidP="00D05661">
      <w:pPr>
        <w:rPr>
          <w:rFonts w:ascii="Montserrat" w:hAnsi="Montserrat"/>
          <w:b/>
        </w:rPr>
      </w:pPr>
    </w:p>
    <w:bookmarkEnd w:id="23"/>
    <w:p w14:paraId="67BAC732" w14:textId="77777777" w:rsidR="00D05661" w:rsidRPr="00726BD5" w:rsidRDefault="00D05661" w:rsidP="00D05661">
      <w:pPr>
        <w:jc w:val="center"/>
        <w:rPr>
          <w:rFonts w:ascii="Montserrat" w:hAnsi="Montserrat"/>
          <w:b/>
        </w:rPr>
      </w:pPr>
    </w:p>
    <w:bookmarkEnd w:id="7"/>
    <w:p w14:paraId="49BD2CB9" w14:textId="40B1697D" w:rsidR="009A021D" w:rsidRPr="00726BD5" w:rsidRDefault="009A021D" w:rsidP="009A021D">
      <w:pPr>
        <w:jc w:val="center"/>
        <w:rPr>
          <w:rFonts w:ascii="Montserrat" w:hAnsi="Montserrat"/>
          <w:b/>
        </w:rPr>
      </w:pPr>
      <w:r w:rsidRPr="00726BD5">
        <w:rPr>
          <w:rFonts w:ascii="Montserrat" w:hAnsi="Montserrat"/>
          <w:b/>
        </w:rPr>
        <w:lastRenderedPageBreak/>
        <w:t>NOTAS DE MEMORIA</w:t>
      </w:r>
    </w:p>
    <w:p w14:paraId="7969A17A" w14:textId="77777777" w:rsidR="009A021D" w:rsidRPr="00726BD5" w:rsidRDefault="009A021D" w:rsidP="009A021D">
      <w:pPr>
        <w:rPr>
          <w:rFonts w:ascii="Montserrat" w:hAnsi="Montserrat"/>
          <w:bCs/>
          <w:lang w:val="es-MX"/>
        </w:rPr>
      </w:pPr>
    </w:p>
    <w:p w14:paraId="05EF7A67" w14:textId="77777777" w:rsidR="009A021D" w:rsidRPr="00726BD5" w:rsidRDefault="009A021D" w:rsidP="009A021D">
      <w:pPr>
        <w:jc w:val="both"/>
        <w:rPr>
          <w:rFonts w:ascii="Montserrat" w:eastAsia="Times New Roman" w:hAnsi="Montserrat" w:cs="Arial"/>
        </w:rPr>
      </w:pPr>
      <w:r w:rsidRPr="00726BD5">
        <w:rPr>
          <w:rFonts w:ascii="Montserrat" w:eastAsia="Times New Roman" w:hAnsi="Montserrat" w:cs="Arial"/>
        </w:rPr>
        <w:t>De conformidad con los postulados contables las cuentas de orden se utilizan para registrar movimientos de valores que no afecten o modifiquen el Estado de Posición Financiera y su fin es para fines de recordatorio contable, de control y en general sobre aspecto administrativos, o bien para consignar sus derechos o responsabilidades contingentes que puedan o no presentarse en el futuro bajo este contexto se tienen las siguientes:</w:t>
      </w:r>
    </w:p>
    <w:p w14:paraId="4F3778B7" w14:textId="77777777" w:rsidR="009A021D" w:rsidRPr="00726BD5" w:rsidRDefault="009A021D" w:rsidP="009A021D">
      <w:pPr>
        <w:rPr>
          <w:rFonts w:ascii="Montserrat" w:hAnsi="Montserrat"/>
          <w:bCs/>
          <w:lang w:val="es-MX"/>
        </w:rPr>
      </w:pPr>
    </w:p>
    <w:tbl>
      <w:tblPr>
        <w:tblW w:w="8856" w:type="dxa"/>
        <w:tblInd w:w="70" w:type="dxa"/>
        <w:tblCellMar>
          <w:left w:w="70" w:type="dxa"/>
          <w:right w:w="70" w:type="dxa"/>
        </w:tblCellMar>
        <w:tblLook w:val="04A0" w:firstRow="1" w:lastRow="0" w:firstColumn="1" w:lastColumn="0" w:noHBand="0" w:noVBand="1"/>
      </w:tblPr>
      <w:tblGrid>
        <w:gridCol w:w="1418"/>
        <w:gridCol w:w="5453"/>
        <w:gridCol w:w="2254"/>
      </w:tblGrid>
      <w:tr w:rsidR="00FD2DE6" w:rsidRPr="00726BD5" w14:paraId="75CDC878" w14:textId="77777777" w:rsidTr="005D0CB2">
        <w:trPr>
          <w:trHeight w:val="226"/>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E1EE045" w14:textId="6B10A5F0" w:rsidR="009A021D" w:rsidRPr="00726BD5" w:rsidRDefault="007D7821" w:rsidP="009A021D">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Cuenta</w:t>
            </w:r>
          </w:p>
        </w:tc>
        <w:tc>
          <w:tcPr>
            <w:tcW w:w="545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18E7E1A" w14:textId="30928E34" w:rsidR="009A021D" w:rsidRPr="00726BD5" w:rsidRDefault="007D7821" w:rsidP="009A021D">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Descripción</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2886669" w14:textId="48B73750" w:rsidR="009A021D" w:rsidRPr="00726BD5" w:rsidRDefault="007D7821" w:rsidP="009A021D">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Debe</w:t>
            </w:r>
          </w:p>
        </w:tc>
      </w:tr>
      <w:tr w:rsidR="00FD2DE6" w:rsidRPr="00726BD5" w14:paraId="388D324D" w14:textId="77777777" w:rsidTr="007F502C">
        <w:trPr>
          <w:trHeight w:val="42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90AD62" w14:textId="509C9A44" w:rsidR="009A021D" w:rsidRPr="00726BD5" w:rsidRDefault="005843C6" w:rsidP="007D04CB">
            <w:pPr>
              <w:rPr>
                <w:rFonts w:ascii="Montserrat" w:hAnsi="Montserrat" w:cs="Calibri"/>
                <w:bCs/>
              </w:rPr>
            </w:pPr>
            <w:r w:rsidRPr="00726BD5">
              <w:rPr>
                <w:rFonts w:ascii="Montserrat" w:hAnsi="Montserrat" w:cs="Calibri"/>
                <w:bCs/>
              </w:rPr>
              <w:t>7.4.1.0</w:t>
            </w:r>
          </w:p>
        </w:tc>
        <w:tc>
          <w:tcPr>
            <w:tcW w:w="5453" w:type="dxa"/>
            <w:tcBorders>
              <w:top w:val="single" w:sz="4" w:space="0" w:color="auto"/>
              <w:left w:val="nil"/>
              <w:bottom w:val="single" w:sz="4" w:space="0" w:color="auto"/>
              <w:right w:val="single" w:sz="4" w:space="0" w:color="auto"/>
            </w:tcBorders>
            <w:shd w:val="clear" w:color="auto" w:fill="auto"/>
            <w:vAlign w:val="center"/>
          </w:tcPr>
          <w:p w14:paraId="33588A4E" w14:textId="36250C69" w:rsidR="009A021D" w:rsidRPr="00726BD5" w:rsidRDefault="005843C6" w:rsidP="009A021D">
            <w:pPr>
              <w:rPr>
                <w:rFonts w:ascii="Montserrat" w:hAnsi="Montserrat"/>
                <w:bCs/>
                <w:lang w:val="es-MX"/>
              </w:rPr>
            </w:pPr>
            <w:r w:rsidRPr="00726BD5">
              <w:rPr>
                <w:rFonts w:ascii="Montserrat" w:hAnsi="Montserrat"/>
                <w:bCs/>
                <w:lang w:val="es-MX"/>
              </w:rPr>
              <w:t>Demandas Judiciales en Proceso de Resolución</w:t>
            </w:r>
          </w:p>
        </w:tc>
        <w:tc>
          <w:tcPr>
            <w:tcW w:w="1985" w:type="dxa"/>
            <w:tcBorders>
              <w:top w:val="single" w:sz="4" w:space="0" w:color="auto"/>
              <w:left w:val="nil"/>
              <w:bottom w:val="single" w:sz="4" w:space="0" w:color="auto"/>
              <w:right w:val="single" w:sz="4" w:space="0" w:color="auto"/>
            </w:tcBorders>
            <w:shd w:val="clear" w:color="auto" w:fill="auto"/>
            <w:vAlign w:val="center"/>
          </w:tcPr>
          <w:p w14:paraId="66BE95FF" w14:textId="6D238E70" w:rsidR="009A021D" w:rsidRPr="00726BD5" w:rsidRDefault="001B23EE" w:rsidP="00A11567">
            <w:pPr>
              <w:jc w:val="right"/>
              <w:rPr>
                <w:rFonts w:ascii="Montserrat" w:hAnsi="Montserrat"/>
                <w:bCs/>
                <w:lang w:val="es-MX"/>
              </w:rPr>
            </w:pPr>
            <w:r w:rsidRPr="00726BD5">
              <w:rPr>
                <w:rFonts w:ascii="Montserrat" w:hAnsi="Montserrat"/>
                <w:bCs/>
                <w:lang w:val="es-MX"/>
              </w:rPr>
              <w:t>2,417,023.36</w:t>
            </w:r>
          </w:p>
        </w:tc>
      </w:tr>
      <w:tr w:rsidR="001B23EE" w:rsidRPr="00726BD5" w14:paraId="7274DC3F" w14:textId="77777777" w:rsidTr="007F502C">
        <w:trPr>
          <w:trHeight w:val="42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938FFD" w14:textId="7F08B99B" w:rsidR="001B23EE" w:rsidRPr="00726BD5" w:rsidRDefault="001B23EE" w:rsidP="007D04CB">
            <w:pPr>
              <w:rPr>
                <w:rFonts w:ascii="Montserrat" w:hAnsi="Montserrat" w:cs="Calibri"/>
                <w:bCs/>
              </w:rPr>
            </w:pPr>
            <w:r w:rsidRPr="00726BD5">
              <w:rPr>
                <w:rFonts w:ascii="Montserrat" w:hAnsi="Montserrat" w:cs="Calibri"/>
                <w:bCs/>
              </w:rPr>
              <w:t>7.7.2.3</w:t>
            </w:r>
          </w:p>
        </w:tc>
        <w:tc>
          <w:tcPr>
            <w:tcW w:w="5453" w:type="dxa"/>
            <w:tcBorders>
              <w:top w:val="single" w:sz="4" w:space="0" w:color="auto"/>
              <w:left w:val="nil"/>
              <w:bottom w:val="single" w:sz="4" w:space="0" w:color="auto"/>
              <w:right w:val="single" w:sz="4" w:space="0" w:color="auto"/>
            </w:tcBorders>
            <w:shd w:val="clear" w:color="auto" w:fill="auto"/>
            <w:vAlign w:val="center"/>
          </w:tcPr>
          <w:p w14:paraId="1207B4F4" w14:textId="0CC57549" w:rsidR="001B23EE" w:rsidRPr="00726BD5" w:rsidRDefault="001B23EE" w:rsidP="001B23EE">
            <w:pPr>
              <w:rPr>
                <w:rFonts w:ascii="Montserrat" w:hAnsi="Montserrat"/>
                <w:bCs/>
                <w:lang w:val="es-MX"/>
              </w:rPr>
            </w:pPr>
            <w:r w:rsidRPr="00726BD5">
              <w:rPr>
                <w:rFonts w:ascii="Montserrat" w:hAnsi="Montserrat"/>
                <w:bCs/>
                <w:lang w:val="es-MX"/>
              </w:rPr>
              <w:t>Deuda Pública Municipal</w:t>
            </w:r>
          </w:p>
        </w:tc>
        <w:tc>
          <w:tcPr>
            <w:tcW w:w="1985" w:type="dxa"/>
            <w:tcBorders>
              <w:top w:val="single" w:sz="4" w:space="0" w:color="auto"/>
              <w:left w:val="nil"/>
              <w:bottom w:val="single" w:sz="4" w:space="0" w:color="auto"/>
              <w:right w:val="single" w:sz="4" w:space="0" w:color="auto"/>
            </w:tcBorders>
            <w:shd w:val="clear" w:color="auto" w:fill="auto"/>
            <w:vAlign w:val="center"/>
          </w:tcPr>
          <w:p w14:paraId="4CB5B886" w14:textId="5FCA31C8" w:rsidR="004D6417" w:rsidRPr="00726BD5" w:rsidRDefault="004D6417" w:rsidP="004D6417">
            <w:pPr>
              <w:jc w:val="right"/>
              <w:rPr>
                <w:rFonts w:ascii="Montserrat" w:hAnsi="Montserrat" w:cs="Calibri"/>
                <w:color w:val="000000"/>
              </w:rPr>
            </w:pPr>
            <w:r w:rsidRPr="00726BD5">
              <w:rPr>
                <w:rFonts w:ascii="Montserrat" w:hAnsi="Montserrat"/>
                <w:bCs/>
                <w:lang w:val="es-MX"/>
              </w:rPr>
              <w:t>19,260,207.52</w:t>
            </w:r>
          </w:p>
        </w:tc>
      </w:tr>
      <w:tr w:rsidR="00FD2DE6" w:rsidRPr="00726BD5" w14:paraId="3FAB0A5C" w14:textId="77777777" w:rsidTr="007F502C">
        <w:trPr>
          <w:trHeight w:val="39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F8592" w14:textId="77777777" w:rsidR="009A021D" w:rsidRPr="00726BD5" w:rsidRDefault="009A021D" w:rsidP="007D04CB">
            <w:pPr>
              <w:rPr>
                <w:rFonts w:ascii="Montserrat" w:hAnsi="Montserrat" w:cs="Calibri"/>
                <w:bCs/>
              </w:rPr>
            </w:pPr>
            <w:r w:rsidRPr="00726BD5">
              <w:rPr>
                <w:rFonts w:ascii="Montserrat" w:hAnsi="Montserrat" w:cs="Calibri"/>
                <w:bCs/>
              </w:rPr>
              <w:t>7.7.4.1</w:t>
            </w:r>
          </w:p>
        </w:tc>
        <w:tc>
          <w:tcPr>
            <w:tcW w:w="5453" w:type="dxa"/>
            <w:tcBorders>
              <w:top w:val="single" w:sz="4" w:space="0" w:color="auto"/>
              <w:left w:val="nil"/>
              <w:bottom w:val="single" w:sz="4" w:space="0" w:color="auto"/>
              <w:right w:val="single" w:sz="4" w:space="0" w:color="auto"/>
            </w:tcBorders>
            <w:shd w:val="clear" w:color="auto" w:fill="auto"/>
            <w:vAlign w:val="center"/>
            <w:hideMark/>
          </w:tcPr>
          <w:p w14:paraId="03440477" w14:textId="77777777" w:rsidR="009A021D" w:rsidRPr="00726BD5" w:rsidRDefault="009A021D" w:rsidP="009A021D">
            <w:pPr>
              <w:rPr>
                <w:rFonts w:ascii="Montserrat" w:hAnsi="Montserrat"/>
                <w:bCs/>
                <w:lang w:val="es-MX"/>
              </w:rPr>
            </w:pPr>
            <w:r w:rsidRPr="00726BD5">
              <w:rPr>
                <w:rFonts w:ascii="Montserrat" w:hAnsi="Montserrat"/>
                <w:bCs/>
                <w:lang w:val="es-MX"/>
              </w:rPr>
              <w:t>Créditos fiscales por recuperar estatal y federal</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36BF536" w14:textId="743DC68B" w:rsidR="009A021D" w:rsidRPr="00726BD5" w:rsidRDefault="004D6417" w:rsidP="004D6417">
            <w:pPr>
              <w:jc w:val="right"/>
              <w:rPr>
                <w:rFonts w:ascii="Montserrat" w:hAnsi="Montserrat"/>
                <w:bCs/>
                <w:lang w:val="es-MX"/>
              </w:rPr>
            </w:pPr>
            <w:r w:rsidRPr="00726BD5">
              <w:rPr>
                <w:rFonts w:ascii="Montserrat" w:hAnsi="Montserrat"/>
                <w:bCs/>
                <w:lang w:val="es-MX"/>
              </w:rPr>
              <w:t>16,855,821,290.86</w:t>
            </w:r>
          </w:p>
        </w:tc>
      </w:tr>
      <w:tr w:rsidR="00A11567" w:rsidRPr="00726BD5" w14:paraId="4E4AEED5" w14:textId="77777777" w:rsidTr="007F502C">
        <w:trPr>
          <w:trHeight w:val="39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88A3D42" w14:textId="4853A416" w:rsidR="00A11567" w:rsidRPr="00726BD5" w:rsidRDefault="00A11567" w:rsidP="007D04CB">
            <w:pPr>
              <w:rPr>
                <w:rFonts w:ascii="Montserrat" w:hAnsi="Montserrat" w:cs="Calibri"/>
                <w:bCs/>
              </w:rPr>
            </w:pPr>
            <w:r w:rsidRPr="00726BD5">
              <w:rPr>
                <w:rFonts w:ascii="Montserrat" w:hAnsi="Montserrat" w:cs="Calibri"/>
                <w:bCs/>
              </w:rPr>
              <w:t>7.7.</w:t>
            </w:r>
            <w:r w:rsidR="001B23EE" w:rsidRPr="00726BD5">
              <w:rPr>
                <w:rFonts w:ascii="Montserrat" w:hAnsi="Montserrat" w:cs="Calibri"/>
                <w:bCs/>
              </w:rPr>
              <w:t>4.3</w:t>
            </w:r>
          </w:p>
        </w:tc>
        <w:tc>
          <w:tcPr>
            <w:tcW w:w="5453" w:type="dxa"/>
            <w:tcBorders>
              <w:top w:val="single" w:sz="4" w:space="0" w:color="auto"/>
              <w:left w:val="nil"/>
              <w:bottom w:val="single" w:sz="4" w:space="0" w:color="auto"/>
              <w:right w:val="single" w:sz="4" w:space="0" w:color="auto"/>
            </w:tcBorders>
            <w:shd w:val="clear" w:color="auto" w:fill="auto"/>
            <w:vAlign w:val="center"/>
          </w:tcPr>
          <w:p w14:paraId="5A5CC971" w14:textId="68055AE4" w:rsidR="00A11567" w:rsidRPr="00726BD5" w:rsidRDefault="00A11567" w:rsidP="009A021D">
            <w:pPr>
              <w:rPr>
                <w:rFonts w:ascii="Montserrat" w:hAnsi="Montserrat"/>
                <w:bCs/>
                <w:lang w:val="es-MX"/>
              </w:rPr>
            </w:pPr>
            <w:r w:rsidRPr="00726BD5">
              <w:rPr>
                <w:rFonts w:ascii="Montserrat" w:hAnsi="Montserrat"/>
                <w:bCs/>
                <w:lang w:val="es-MX"/>
              </w:rPr>
              <w:t>Créditos no fiscales por recuperar</w:t>
            </w:r>
          </w:p>
        </w:tc>
        <w:tc>
          <w:tcPr>
            <w:tcW w:w="1985" w:type="dxa"/>
            <w:tcBorders>
              <w:top w:val="single" w:sz="4" w:space="0" w:color="auto"/>
              <w:left w:val="nil"/>
              <w:bottom w:val="single" w:sz="4" w:space="0" w:color="auto"/>
              <w:right w:val="single" w:sz="4" w:space="0" w:color="auto"/>
            </w:tcBorders>
            <w:shd w:val="clear" w:color="auto" w:fill="auto"/>
            <w:vAlign w:val="center"/>
          </w:tcPr>
          <w:p w14:paraId="34A8E44B" w14:textId="58676093" w:rsidR="00A11567" w:rsidRPr="00726BD5" w:rsidRDefault="004D6417" w:rsidP="00A11567">
            <w:pPr>
              <w:jc w:val="right"/>
              <w:rPr>
                <w:rFonts w:ascii="Montserrat" w:hAnsi="Montserrat"/>
                <w:bCs/>
                <w:lang w:val="es-MX"/>
              </w:rPr>
            </w:pPr>
            <w:r w:rsidRPr="00726BD5">
              <w:rPr>
                <w:rFonts w:ascii="Montserrat" w:hAnsi="Montserrat"/>
                <w:bCs/>
                <w:lang w:val="es-MX"/>
              </w:rPr>
              <w:t>977,344,317.42</w:t>
            </w:r>
          </w:p>
        </w:tc>
      </w:tr>
      <w:tr w:rsidR="00FD2DE6" w:rsidRPr="00726BD5" w14:paraId="1A81E02E" w14:textId="77777777" w:rsidTr="007F502C">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951ED" w14:textId="77777777" w:rsidR="009A021D" w:rsidRPr="00726BD5" w:rsidRDefault="009A021D" w:rsidP="007D04CB">
            <w:pPr>
              <w:rPr>
                <w:rFonts w:ascii="Montserrat" w:hAnsi="Montserrat" w:cs="Calibri"/>
                <w:bCs/>
              </w:rPr>
            </w:pPr>
            <w:r w:rsidRPr="00726BD5">
              <w:rPr>
                <w:rFonts w:ascii="Montserrat" w:hAnsi="Montserrat" w:cs="Calibri"/>
                <w:bCs/>
              </w:rPr>
              <w:t>7.7.5.2</w:t>
            </w:r>
          </w:p>
        </w:tc>
        <w:tc>
          <w:tcPr>
            <w:tcW w:w="5453" w:type="dxa"/>
            <w:tcBorders>
              <w:top w:val="single" w:sz="4" w:space="0" w:color="auto"/>
              <w:left w:val="nil"/>
              <w:bottom w:val="single" w:sz="4" w:space="0" w:color="auto"/>
              <w:right w:val="single" w:sz="4" w:space="0" w:color="auto"/>
            </w:tcBorders>
            <w:shd w:val="clear" w:color="auto" w:fill="auto"/>
            <w:vAlign w:val="center"/>
            <w:hideMark/>
          </w:tcPr>
          <w:p w14:paraId="2388B728" w14:textId="77777777" w:rsidR="009A021D" w:rsidRPr="00726BD5" w:rsidRDefault="009A021D" w:rsidP="009A021D">
            <w:pPr>
              <w:rPr>
                <w:rFonts w:ascii="Montserrat" w:hAnsi="Montserrat"/>
                <w:bCs/>
                <w:lang w:val="es-MX"/>
              </w:rPr>
            </w:pPr>
            <w:r w:rsidRPr="00726BD5">
              <w:rPr>
                <w:rFonts w:ascii="Montserrat" w:hAnsi="Montserrat"/>
                <w:bCs/>
                <w:lang w:val="es-MX"/>
              </w:rPr>
              <w:t>Otras obligaciones de pago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EE74D00" w14:textId="03D822C5" w:rsidR="009A021D" w:rsidRPr="00726BD5" w:rsidRDefault="004D6417" w:rsidP="009A021D">
            <w:pPr>
              <w:jc w:val="right"/>
              <w:rPr>
                <w:rFonts w:ascii="Montserrat" w:hAnsi="Montserrat"/>
                <w:bCs/>
                <w:lang w:val="es-MX"/>
              </w:rPr>
            </w:pPr>
            <w:r w:rsidRPr="00726BD5">
              <w:rPr>
                <w:rFonts w:ascii="Montserrat" w:hAnsi="Montserrat"/>
                <w:bCs/>
                <w:lang w:val="es-MX"/>
              </w:rPr>
              <w:t>1.534.235.126.00</w:t>
            </w:r>
          </w:p>
        </w:tc>
      </w:tr>
      <w:tr w:rsidR="00FD2DE6" w:rsidRPr="00726BD5" w14:paraId="0A5BB0E9" w14:textId="77777777" w:rsidTr="007F502C">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381FCC3" w14:textId="77777777" w:rsidR="009A021D" w:rsidRPr="00726BD5" w:rsidRDefault="009A021D" w:rsidP="007D04CB">
            <w:pPr>
              <w:rPr>
                <w:rFonts w:ascii="Montserrat" w:hAnsi="Montserrat" w:cs="Calibri"/>
                <w:bCs/>
              </w:rPr>
            </w:pPr>
            <w:r w:rsidRPr="00726BD5">
              <w:rPr>
                <w:rFonts w:ascii="Montserrat" w:hAnsi="Montserrat" w:cs="Calibri"/>
                <w:bCs/>
              </w:rPr>
              <w:t>7.8.1.1</w:t>
            </w:r>
          </w:p>
        </w:tc>
        <w:tc>
          <w:tcPr>
            <w:tcW w:w="5453" w:type="dxa"/>
            <w:tcBorders>
              <w:top w:val="single" w:sz="4" w:space="0" w:color="auto"/>
              <w:left w:val="nil"/>
              <w:bottom w:val="single" w:sz="4" w:space="0" w:color="auto"/>
              <w:right w:val="single" w:sz="4" w:space="0" w:color="auto"/>
            </w:tcBorders>
            <w:shd w:val="clear" w:color="auto" w:fill="auto"/>
            <w:vAlign w:val="center"/>
          </w:tcPr>
          <w:p w14:paraId="2CCA7339" w14:textId="77777777" w:rsidR="009A021D" w:rsidRPr="00726BD5" w:rsidRDefault="009A021D" w:rsidP="009A021D">
            <w:pPr>
              <w:rPr>
                <w:rFonts w:ascii="Montserrat" w:hAnsi="Montserrat"/>
                <w:bCs/>
                <w:lang w:val="es-MX"/>
              </w:rPr>
            </w:pPr>
            <w:r w:rsidRPr="00726BD5">
              <w:rPr>
                <w:rFonts w:ascii="Montserrat" w:hAnsi="Montserrat"/>
                <w:bCs/>
                <w:lang w:val="es-MX"/>
              </w:rPr>
              <w:t>Bienes arqueológicos, artísticos e históricos</w:t>
            </w:r>
          </w:p>
        </w:tc>
        <w:tc>
          <w:tcPr>
            <w:tcW w:w="1985" w:type="dxa"/>
            <w:tcBorders>
              <w:top w:val="single" w:sz="4" w:space="0" w:color="auto"/>
              <w:left w:val="nil"/>
              <w:bottom w:val="single" w:sz="4" w:space="0" w:color="auto"/>
              <w:right w:val="single" w:sz="4" w:space="0" w:color="auto"/>
            </w:tcBorders>
            <w:shd w:val="clear" w:color="auto" w:fill="auto"/>
            <w:vAlign w:val="center"/>
          </w:tcPr>
          <w:p w14:paraId="6DB315E4" w14:textId="77777777" w:rsidR="009A021D" w:rsidRPr="00726BD5" w:rsidRDefault="009A021D" w:rsidP="009A021D">
            <w:pPr>
              <w:jc w:val="right"/>
              <w:rPr>
                <w:rFonts w:ascii="Montserrat" w:hAnsi="Montserrat"/>
                <w:bCs/>
                <w:lang w:val="es-MX"/>
              </w:rPr>
            </w:pPr>
            <w:r w:rsidRPr="00726BD5">
              <w:rPr>
                <w:rFonts w:ascii="Montserrat" w:hAnsi="Montserrat"/>
                <w:bCs/>
                <w:lang w:val="es-MX"/>
              </w:rPr>
              <w:t>20.00</w:t>
            </w:r>
          </w:p>
        </w:tc>
      </w:tr>
      <w:tr w:rsidR="00977E4E" w:rsidRPr="00726BD5" w14:paraId="6D38DDDA" w14:textId="77777777" w:rsidTr="007F502C">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E8F77" w14:textId="77777777" w:rsidR="009A021D" w:rsidRPr="00726BD5" w:rsidRDefault="009A021D" w:rsidP="007D04CB">
            <w:pPr>
              <w:rPr>
                <w:rFonts w:ascii="Montserrat" w:eastAsia="Times New Roman" w:hAnsi="Montserrat" w:cs="Times New Roman"/>
                <w:b/>
                <w:bCs/>
                <w:lang w:val="es-MX"/>
              </w:rPr>
            </w:pPr>
            <w:r w:rsidRPr="00726BD5">
              <w:rPr>
                <w:rFonts w:ascii="Montserrat" w:eastAsia="Times New Roman" w:hAnsi="Montserrat" w:cs="Times New Roman"/>
                <w:b/>
                <w:bCs/>
                <w:lang w:val="es-MX"/>
              </w:rPr>
              <w:t> </w:t>
            </w:r>
          </w:p>
        </w:tc>
        <w:tc>
          <w:tcPr>
            <w:tcW w:w="5453" w:type="dxa"/>
            <w:tcBorders>
              <w:top w:val="single" w:sz="4" w:space="0" w:color="auto"/>
              <w:left w:val="nil"/>
              <w:bottom w:val="single" w:sz="4" w:space="0" w:color="auto"/>
              <w:right w:val="single" w:sz="4" w:space="0" w:color="auto"/>
            </w:tcBorders>
            <w:shd w:val="clear" w:color="auto" w:fill="auto"/>
            <w:noWrap/>
            <w:vAlign w:val="bottom"/>
            <w:hideMark/>
          </w:tcPr>
          <w:p w14:paraId="2FF2CA9B" w14:textId="1741A111" w:rsidR="009A021D" w:rsidRPr="00726BD5" w:rsidRDefault="009A021D" w:rsidP="007F502C">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TOTA</w:t>
            </w:r>
            <w:r w:rsidR="00D917CF" w:rsidRPr="00726BD5">
              <w:rPr>
                <w:rFonts w:ascii="Montserrat" w:eastAsia="Times New Roman" w:hAnsi="Montserrat" w:cs="Times New Roman"/>
                <w:b/>
                <w:bCs/>
                <w:lang w:val="es-MX"/>
              </w:rPr>
              <w:t>L</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0537840" w14:textId="63C5DFED" w:rsidR="009A021D" w:rsidRPr="00726BD5" w:rsidRDefault="004D6417" w:rsidP="007F502C">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19,389,077,985.16</w:t>
            </w:r>
          </w:p>
        </w:tc>
      </w:tr>
    </w:tbl>
    <w:p w14:paraId="39A3F3A6" w14:textId="77777777" w:rsidR="009A021D" w:rsidRPr="00726BD5" w:rsidRDefault="009A021D" w:rsidP="009A021D">
      <w:pPr>
        <w:rPr>
          <w:rFonts w:ascii="Montserrat" w:hAnsi="Montserrat"/>
          <w:b/>
          <w:lang w:val="es-MX"/>
        </w:rPr>
      </w:pPr>
    </w:p>
    <w:p w14:paraId="395D194F" w14:textId="77777777" w:rsidR="00B46653" w:rsidRPr="00726BD5" w:rsidRDefault="00B46653" w:rsidP="009A021D">
      <w:pPr>
        <w:rPr>
          <w:rFonts w:ascii="Montserrat" w:eastAsia="Times New Roman" w:hAnsi="Montserrat" w:cs="Arial"/>
          <w:b/>
          <w:bCs/>
        </w:rPr>
      </w:pPr>
    </w:p>
    <w:p w14:paraId="01A9F1C1" w14:textId="135EDD51" w:rsidR="009A021D" w:rsidRPr="00726BD5" w:rsidRDefault="009A021D" w:rsidP="009A021D">
      <w:pPr>
        <w:rPr>
          <w:rFonts w:ascii="Montserrat" w:eastAsia="Times New Roman" w:hAnsi="Montserrat" w:cs="Arial"/>
          <w:b/>
          <w:bCs/>
        </w:rPr>
      </w:pPr>
      <w:r w:rsidRPr="00726BD5">
        <w:rPr>
          <w:rFonts w:ascii="Montserrat" w:eastAsia="Times New Roman" w:hAnsi="Montserrat" w:cs="Arial"/>
          <w:b/>
          <w:bCs/>
        </w:rPr>
        <w:t>CUENTAS DE ORDEN PRESUPUESTARIO</w:t>
      </w:r>
    </w:p>
    <w:p w14:paraId="6FAC2DDC" w14:textId="77777777" w:rsidR="009A021D" w:rsidRPr="00726BD5" w:rsidRDefault="009A021D" w:rsidP="009A021D">
      <w:pPr>
        <w:tabs>
          <w:tab w:val="left" w:pos="1260"/>
        </w:tabs>
        <w:spacing w:after="101" w:line="224" w:lineRule="exact"/>
        <w:ind w:firstLine="289"/>
        <w:jc w:val="both"/>
        <w:rPr>
          <w:rFonts w:ascii="Montserrat" w:eastAsia="Times New Roman" w:hAnsi="Montserrat" w:cs="Arial"/>
          <w:b/>
          <w:lang w:eastAsia="es-ES"/>
        </w:rPr>
      </w:pPr>
    </w:p>
    <w:p w14:paraId="3B684C55" w14:textId="77777777" w:rsidR="009A021D" w:rsidRPr="00726BD5" w:rsidRDefault="009A021D" w:rsidP="009A021D">
      <w:pPr>
        <w:tabs>
          <w:tab w:val="left" w:pos="1260"/>
        </w:tabs>
        <w:spacing w:after="120" w:line="224" w:lineRule="exact"/>
        <w:jc w:val="both"/>
        <w:rPr>
          <w:rFonts w:ascii="Montserrat" w:eastAsia="Times New Roman" w:hAnsi="Montserrat" w:cs="Arial"/>
          <w:bCs/>
          <w:lang w:val="es-MX" w:eastAsia="es-ES"/>
        </w:rPr>
      </w:pPr>
      <w:r w:rsidRPr="00726BD5">
        <w:rPr>
          <w:rFonts w:ascii="Montserrat" w:eastAsia="Times New Roman" w:hAnsi="Montserrat" w:cs="Arial"/>
          <w:bCs/>
          <w:lang w:eastAsia="es-ES"/>
        </w:rPr>
        <w:t>En</w:t>
      </w:r>
      <w:r w:rsidRPr="00726BD5">
        <w:rPr>
          <w:rFonts w:ascii="Montserrat" w:eastAsia="Times New Roman" w:hAnsi="Montserrat" w:cs="Arial"/>
          <w:bCs/>
          <w:lang w:val="es-MX" w:eastAsia="es-ES"/>
        </w:rPr>
        <w:t xml:space="preserve"> las cuentas de orden presupuestarias, se informa el avance que se registra, previo al cierre presupuestario de cada periodo que se reporta.</w:t>
      </w:r>
    </w:p>
    <w:p w14:paraId="4146D163" w14:textId="77777777" w:rsidR="007D04CB" w:rsidRPr="00726BD5" w:rsidRDefault="007D04CB" w:rsidP="009A021D">
      <w:pPr>
        <w:tabs>
          <w:tab w:val="left" w:pos="1260"/>
        </w:tabs>
        <w:spacing w:after="120" w:line="224" w:lineRule="exact"/>
        <w:jc w:val="both"/>
        <w:rPr>
          <w:rFonts w:ascii="Montserrat" w:eastAsia="Times New Roman" w:hAnsi="Montserrat" w:cs="Arial"/>
          <w:bCs/>
          <w:lang w:val="es-MX" w:eastAsia="es-ES"/>
        </w:rPr>
      </w:pPr>
    </w:p>
    <w:p w14:paraId="2B451E30" w14:textId="55CCCFA8" w:rsidR="00977E4E" w:rsidRPr="00726BD5" w:rsidRDefault="009A021D" w:rsidP="009A021D">
      <w:pPr>
        <w:tabs>
          <w:tab w:val="left" w:pos="1260"/>
        </w:tabs>
        <w:spacing w:after="120" w:line="224" w:lineRule="exact"/>
        <w:jc w:val="both"/>
        <w:rPr>
          <w:rFonts w:ascii="Montserrat" w:eastAsia="Times New Roman" w:hAnsi="Montserrat" w:cs="Arial"/>
          <w:bCs/>
          <w:lang w:val="es-MX" w:eastAsia="es-ES"/>
        </w:rPr>
      </w:pPr>
      <w:r w:rsidRPr="00726BD5">
        <w:rPr>
          <w:rFonts w:ascii="Montserrat" w:eastAsia="Times New Roman" w:hAnsi="Montserrat" w:cs="Arial"/>
          <w:bCs/>
          <w:lang w:val="es-MX" w:eastAsia="es-ES"/>
        </w:rPr>
        <w:t>Dichas cifras corresponden al presupuesto total aprobado para el Gobierno del Estado.</w:t>
      </w:r>
    </w:p>
    <w:p w14:paraId="5CEFC4E9" w14:textId="77777777" w:rsidR="007F502C" w:rsidRPr="00726BD5" w:rsidRDefault="007F502C" w:rsidP="009A021D">
      <w:pPr>
        <w:tabs>
          <w:tab w:val="left" w:pos="1260"/>
        </w:tabs>
        <w:spacing w:after="120" w:line="224" w:lineRule="exact"/>
        <w:jc w:val="both"/>
        <w:rPr>
          <w:rFonts w:ascii="Montserrat" w:eastAsia="Times New Roman" w:hAnsi="Montserrat" w:cs="Arial"/>
          <w:bCs/>
          <w:lang w:val="es-MX" w:eastAsia="es-E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977"/>
      </w:tblGrid>
      <w:tr w:rsidR="00FD2DE6" w:rsidRPr="00726BD5" w14:paraId="242121A3" w14:textId="77777777" w:rsidTr="00C33ACA">
        <w:tc>
          <w:tcPr>
            <w:tcW w:w="8931" w:type="dxa"/>
            <w:gridSpan w:val="2"/>
            <w:shd w:val="clear" w:color="auto" w:fill="D9D9D9" w:themeFill="background1" w:themeFillShade="D9"/>
            <w:vAlign w:val="center"/>
          </w:tcPr>
          <w:p w14:paraId="4D85E14D" w14:textId="77777777" w:rsidR="009A021D" w:rsidRPr="00726BD5" w:rsidRDefault="009A021D" w:rsidP="004B3002">
            <w:pPr>
              <w:spacing w:after="120" w:line="216" w:lineRule="exact"/>
              <w:jc w:val="center"/>
              <w:rPr>
                <w:rFonts w:ascii="Montserrat" w:eastAsia="Times New Roman" w:hAnsi="Montserrat" w:cs="Arial"/>
                <w:b/>
                <w:lang w:eastAsia="es-ES"/>
              </w:rPr>
            </w:pPr>
            <w:r w:rsidRPr="00726BD5">
              <w:rPr>
                <w:rFonts w:ascii="Montserrat" w:eastAsia="Times New Roman" w:hAnsi="Montserrat" w:cs="Arial"/>
                <w:b/>
                <w:lang w:eastAsia="es-ES"/>
              </w:rPr>
              <w:t>Cuentas de Orden Presupuestarias de Ingresos</w:t>
            </w:r>
          </w:p>
        </w:tc>
      </w:tr>
      <w:tr w:rsidR="00FD2DE6" w:rsidRPr="00726BD5" w14:paraId="5C2CD1E4" w14:textId="77777777" w:rsidTr="00C33ACA">
        <w:tc>
          <w:tcPr>
            <w:tcW w:w="5954" w:type="dxa"/>
            <w:shd w:val="clear" w:color="auto" w:fill="D9D9D9" w:themeFill="background1" w:themeFillShade="D9"/>
            <w:vAlign w:val="center"/>
          </w:tcPr>
          <w:p w14:paraId="26143BD0" w14:textId="77777777" w:rsidR="009A021D" w:rsidRPr="00726BD5" w:rsidRDefault="009A021D" w:rsidP="004B3002">
            <w:pPr>
              <w:spacing w:after="120" w:line="216" w:lineRule="exact"/>
              <w:jc w:val="center"/>
              <w:rPr>
                <w:rFonts w:ascii="Montserrat" w:eastAsia="Times New Roman" w:hAnsi="Montserrat" w:cs="Arial"/>
                <w:b/>
                <w:lang w:eastAsia="es-ES"/>
              </w:rPr>
            </w:pPr>
            <w:r w:rsidRPr="00726BD5">
              <w:rPr>
                <w:rFonts w:ascii="Montserrat" w:eastAsia="Times New Roman" w:hAnsi="Montserrat" w:cs="Arial"/>
                <w:b/>
                <w:lang w:eastAsia="es-ES"/>
              </w:rPr>
              <w:t>Concepto</w:t>
            </w:r>
          </w:p>
        </w:tc>
        <w:tc>
          <w:tcPr>
            <w:tcW w:w="2977" w:type="dxa"/>
            <w:shd w:val="clear" w:color="auto" w:fill="D9D9D9" w:themeFill="background1" w:themeFillShade="D9"/>
            <w:vAlign w:val="center"/>
          </w:tcPr>
          <w:p w14:paraId="71476CFB" w14:textId="4E67AACE" w:rsidR="009A021D" w:rsidRPr="00726BD5" w:rsidRDefault="009A021D" w:rsidP="004B3002">
            <w:pPr>
              <w:spacing w:after="120" w:line="216" w:lineRule="exact"/>
              <w:jc w:val="center"/>
              <w:rPr>
                <w:rFonts w:ascii="Montserrat" w:eastAsia="Times New Roman" w:hAnsi="Montserrat" w:cs="Arial"/>
                <w:b/>
                <w:lang w:eastAsia="es-ES"/>
              </w:rPr>
            </w:pPr>
            <w:r w:rsidRPr="00726BD5">
              <w:rPr>
                <w:rFonts w:ascii="Montserrat" w:eastAsia="Times New Roman" w:hAnsi="Montserrat" w:cs="Arial"/>
                <w:b/>
                <w:lang w:eastAsia="es-ES"/>
              </w:rPr>
              <w:t>202</w:t>
            </w:r>
            <w:r w:rsidR="00B46653" w:rsidRPr="00726BD5">
              <w:rPr>
                <w:rFonts w:ascii="Montserrat" w:eastAsia="Times New Roman" w:hAnsi="Montserrat" w:cs="Arial"/>
                <w:b/>
                <w:lang w:eastAsia="es-ES"/>
              </w:rPr>
              <w:t>5</w:t>
            </w:r>
          </w:p>
        </w:tc>
      </w:tr>
      <w:tr w:rsidR="00F532CF" w:rsidRPr="00726BD5" w14:paraId="21F2E826" w14:textId="77777777" w:rsidTr="00C33ACA">
        <w:tc>
          <w:tcPr>
            <w:tcW w:w="5954" w:type="dxa"/>
            <w:shd w:val="clear" w:color="auto" w:fill="auto"/>
            <w:vAlign w:val="center"/>
          </w:tcPr>
          <w:p w14:paraId="3E7D09A5" w14:textId="392C60DD" w:rsidR="00F532CF" w:rsidRPr="00726BD5" w:rsidRDefault="00F532CF" w:rsidP="004B3592">
            <w:pPr>
              <w:spacing w:before="60" w:after="60" w:line="216" w:lineRule="exact"/>
              <w:rPr>
                <w:rFonts w:ascii="Montserrat" w:eastAsia="Times New Roman" w:hAnsi="Montserrat" w:cs="Arial"/>
                <w:bCs/>
                <w:lang w:eastAsia="es-ES"/>
              </w:rPr>
            </w:pPr>
            <w:r w:rsidRPr="00726BD5">
              <w:rPr>
                <w:rFonts w:ascii="Montserrat" w:eastAsia="Times New Roman" w:hAnsi="Montserrat" w:cs="Arial"/>
                <w:bCs/>
                <w:lang w:eastAsia="es-ES"/>
              </w:rPr>
              <w:t>Ley de Ingresos Estimada</w:t>
            </w:r>
          </w:p>
        </w:tc>
        <w:tc>
          <w:tcPr>
            <w:tcW w:w="2977" w:type="dxa"/>
            <w:shd w:val="clear" w:color="auto" w:fill="auto"/>
            <w:vAlign w:val="center"/>
          </w:tcPr>
          <w:p w14:paraId="5DE7D568" w14:textId="3526680A" w:rsidR="00F532CF" w:rsidRPr="00726BD5" w:rsidRDefault="00A17704" w:rsidP="004B3592">
            <w:pPr>
              <w:spacing w:before="60" w:after="60"/>
              <w:jc w:val="right"/>
              <w:rPr>
                <w:rFonts w:ascii="Montserrat" w:eastAsia="Times New Roman" w:hAnsi="Montserrat" w:cs="Arial"/>
                <w:bCs/>
                <w:lang w:eastAsia="es-ES"/>
              </w:rPr>
            </w:pPr>
            <w:r w:rsidRPr="00726BD5">
              <w:rPr>
                <w:rFonts w:ascii="Montserrat" w:eastAsia="Times New Roman" w:hAnsi="Montserrat" w:cs="Arial"/>
                <w:bCs/>
                <w:lang w:eastAsia="es-ES"/>
              </w:rPr>
              <w:t>103,000,967,838.00</w:t>
            </w:r>
          </w:p>
        </w:tc>
      </w:tr>
      <w:tr w:rsidR="00F532CF" w:rsidRPr="00726BD5" w14:paraId="258EE673" w14:textId="77777777" w:rsidTr="00C33ACA">
        <w:tc>
          <w:tcPr>
            <w:tcW w:w="5954" w:type="dxa"/>
            <w:shd w:val="clear" w:color="auto" w:fill="auto"/>
            <w:vAlign w:val="center"/>
          </w:tcPr>
          <w:p w14:paraId="7EC0CCD2" w14:textId="77777777" w:rsidR="00F532CF" w:rsidRPr="00726BD5" w:rsidRDefault="00F532CF" w:rsidP="004B3592">
            <w:pPr>
              <w:spacing w:before="60" w:after="60" w:line="216" w:lineRule="exact"/>
              <w:rPr>
                <w:rFonts w:ascii="Montserrat" w:eastAsia="Times New Roman" w:hAnsi="Montserrat" w:cs="Arial"/>
                <w:bCs/>
                <w:lang w:eastAsia="es-ES"/>
              </w:rPr>
            </w:pPr>
            <w:r w:rsidRPr="00726BD5">
              <w:rPr>
                <w:rFonts w:ascii="Montserrat" w:eastAsia="Times New Roman" w:hAnsi="Montserrat" w:cs="Arial"/>
                <w:bCs/>
                <w:lang w:eastAsia="es-ES"/>
              </w:rPr>
              <w:t>Ley de Ingresos por Ejecutar</w:t>
            </w:r>
          </w:p>
        </w:tc>
        <w:tc>
          <w:tcPr>
            <w:tcW w:w="2977" w:type="dxa"/>
            <w:shd w:val="clear" w:color="auto" w:fill="auto"/>
            <w:vAlign w:val="center"/>
          </w:tcPr>
          <w:p w14:paraId="457E9E62" w14:textId="13B58160" w:rsidR="00F532CF" w:rsidRPr="00726BD5" w:rsidRDefault="00B34481" w:rsidP="00E45672">
            <w:pPr>
              <w:spacing w:before="60" w:after="60"/>
              <w:jc w:val="right"/>
              <w:rPr>
                <w:rFonts w:ascii="Montserrat" w:eastAsia="Times New Roman" w:hAnsi="Montserrat" w:cs="Arial"/>
                <w:bCs/>
                <w:lang w:eastAsia="es-ES"/>
              </w:rPr>
            </w:pPr>
            <w:r w:rsidRPr="00726BD5">
              <w:rPr>
                <w:rFonts w:ascii="Montserrat" w:eastAsia="Times New Roman" w:hAnsi="Montserrat" w:cs="Arial"/>
                <w:bCs/>
                <w:lang w:eastAsia="es-ES"/>
              </w:rPr>
              <w:t>47,034,009,278.06</w:t>
            </w:r>
          </w:p>
        </w:tc>
      </w:tr>
      <w:tr w:rsidR="00F532CF" w:rsidRPr="00726BD5" w14:paraId="5765988D" w14:textId="77777777" w:rsidTr="00C33ACA">
        <w:tc>
          <w:tcPr>
            <w:tcW w:w="5954" w:type="dxa"/>
            <w:shd w:val="clear" w:color="auto" w:fill="auto"/>
            <w:vAlign w:val="center"/>
          </w:tcPr>
          <w:p w14:paraId="762BA33D" w14:textId="77777777" w:rsidR="00F532CF" w:rsidRPr="00726BD5" w:rsidRDefault="00F532CF" w:rsidP="004B3592">
            <w:pPr>
              <w:spacing w:before="60" w:after="60" w:line="216" w:lineRule="exact"/>
              <w:rPr>
                <w:rFonts w:ascii="Montserrat" w:eastAsia="Times New Roman" w:hAnsi="Montserrat" w:cs="Arial"/>
                <w:bCs/>
                <w:lang w:eastAsia="es-ES"/>
              </w:rPr>
            </w:pPr>
            <w:r w:rsidRPr="00726BD5">
              <w:rPr>
                <w:rFonts w:ascii="Montserrat" w:eastAsia="Times New Roman" w:hAnsi="Montserrat" w:cs="Arial"/>
                <w:bCs/>
                <w:lang w:eastAsia="es-ES"/>
              </w:rPr>
              <w:t>Modificaciones a la Ley de Ingresos Estimada</w:t>
            </w:r>
          </w:p>
        </w:tc>
        <w:tc>
          <w:tcPr>
            <w:tcW w:w="2977" w:type="dxa"/>
            <w:shd w:val="clear" w:color="auto" w:fill="auto"/>
            <w:vAlign w:val="center"/>
          </w:tcPr>
          <w:p w14:paraId="032256B9" w14:textId="0D41CD28" w:rsidR="00F532CF" w:rsidRPr="00726BD5" w:rsidRDefault="007D1725" w:rsidP="004B3592">
            <w:pPr>
              <w:spacing w:before="60" w:after="60"/>
              <w:jc w:val="right"/>
              <w:rPr>
                <w:rFonts w:ascii="Montserrat" w:eastAsia="Times New Roman" w:hAnsi="Montserrat" w:cs="Arial"/>
                <w:bCs/>
                <w:lang w:eastAsia="es-ES"/>
              </w:rPr>
            </w:pPr>
            <w:r w:rsidRPr="00726BD5">
              <w:rPr>
                <w:rFonts w:ascii="Montserrat" w:eastAsia="Times New Roman" w:hAnsi="Montserrat" w:cs="Arial"/>
                <w:bCs/>
                <w:lang w:eastAsia="es-ES"/>
              </w:rPr>
              <w:t>0.00</w:t>
            </w:r>
          </w:p>
        </w:tc>
      </w:tr>
      <w:tr w:rsidR="00E45672" w:rsidRPr="00726BD5" w14:paraId="400DF065" w14:textId="77777777" w:rsidTr="00C33ACA">
        <w:trPr>
          <w:trHeight w:val="447"/>
        </w:trPr>
        <w:tc>
          <w:tcPr>
            <w:tcW w:w="5954" w:type="dxa"/>
            <w:shd w:val="clear" w:color="auto" w:fill="auto"/>
            <w:vAlign w:val="center"/>
          </w:tcPr>
          <w:p w14:paraId="6F9A2C8B" w14:textId="77777777" w:rsidR="00E45672" w:rsidRPr="00726BD5" w:rsidRDefault="00E45672" w:rsidP="00E45672">
            <w:pPr>
              <w:spacing w:before="60" w:after="60" w:line="216" w:lineRule="exact"/>
              <w:rPr>
                <w:rFonts w:ascii="Montserrat" w:eastAsia="Times New Roman" w:hAnsi="Montserrat" w:cs="Arial"/>
                <w:bCs/>
                <w:lang w:eastAsia="es-ES"/>
              </w:rPr>
            </w:pPr>
            <w:r w:rsidRPr="00726BD5">
              <w:rPr>
                <w:rFonts w:ascii="Montserrat" w:eastAsia="Times New Roman" w:hAnsi="Montserrat" w:cs="Arial"/>
                <w:bCs/>
                <w:lang w:eastAsia="es-ES"/>
              </w:rPr>
              <w:t>Ley de Ingresos Devengada</w:t>
            </w:r>
          </w:p>
        </w:tc>
        <w:tc>
          <w:tcPr>
            <w:tcW w:w="2977" w:type="dxa"/>
            <w:shd w:val="clear" w:color="auto" w:fill="auto"/>
            <w:vAlign w:val="bottom"/>
          </w:tcPr>
          <w:p w14:paraId="08ABC0BE" w14:textId="701D5EC0" w:rsidR="00E45672" w:rsidRPr="00726BD5" w:rsidRDefault="00B34481" w:rsidP="00E45672">
            <w:pPr>
              <w:spacing w:before="60" w:after="60"/>
              <w:jc w:val="right"/>
              <w:rPr>
                <w:rFonts w:ascii="Montserrat" w:eastAsia="Times New Roman" w:hAnsi="Montserrat" w:cs="Arial"/>
                <w:bCs/>
                <w:lang w:eastAsia="es-ES"/>
              </w:rPr>
            </w:pPr>
            <w:r w:rsidRPr="00726BD5">
              <w:rPr>
                <w:rFonts w:ascii="Montserrat" w:eastAsia="Times New Roman" w:hAnsi="Montserrat" w:cs="Arial"/>
                <w:bCs/>
                <w:lang w:eastAsia="es-ES"/>
              </w:rPr>
              <w:t>72,646,771,364.66</w:t>
            </w:r>
          </w:p>
        </w:tc>
      </w:tr>
      <w:tr w:rsidR="00E45672" w:rsidRPr="00726BD5" w14:paraId="103724B9" w14:textId="77777777" w:rsidTr="00C33ACA">
        <w:tc>
          <w:tcPr>
            <w:tcW w:w="5954" w:type="dxa"/>
            <w:shd w:val="clear" w:color="auto" w:fill="auto"/>
            <w:vAlign w:val="center"/>
          </w:tcPr>
          <w:p w14:paraId="71CC3572" w14:textId="77777777" w:rsidR="00E45672" w:rsidRPr="00726BD5" w:rsidRDefault="00E45672" w:rsidP="00E45672">
            <w:pPr>
              <w:spacing w:before="60" w:after="60" w:line="216" w:lineRule="exact"/>
              <w:rPr>
                <w:rFonts w:ascii="Montserrat" w:eastAsia="Times New Roman" w:hAnsi="Montserrat" w:cs="Arial"/>
                <w:bCs/>
                <w:lang w:eastAsia="es-ES"/>
              </w:rPr>
            </w:pPr>
            <w:r w:rsidRPr="00726BD5">
              <w:rPr>
                <w:rFonts w:ascii="Montserrat" w:eastAsia="Times New Roman" w:hAnsi="Montserrat" w:cs="Arial"/>
                <w:bCs/>
                <w:lang w:eastAsia="es-ES"/>
              </w:rPr>
              <w:t>Ley de Ingresos Recaudada</w:t>
            </w:r>
          </w:p>
        </w:tc>
        <w:tc>
          <w:tcPr>
            <w:tcW w:w="2977" w:type="dxa"/>
            <w:shd w:val="clear" w:color="auto" w:fill="auto"/>
            <w:vAlign w:val="bottom"/>
          </w:tcPr>
          <w:p w14:paraId="422B3FB0" w14:textId="5DA4ADCE" w:rsidR="00E45672" w:rsidRPr="00726BD5" w:rsidRDefault="00B34481" w:rsidP="00E45672">
            <w:pPr>
              <w:spacing w:before="60" w:after="60"/>
              <w:jc w:val="right"/>
              <w:rPr>
                <w:rFonts w:ascii="Montserrat" w:eastAsia="Times New Roman" w:hAnsi="Montserrat" w:cs="Arial"/>
                <w:bCs/>
                <w:lang w:eastAsia="es-ES"/>
              </w:rPr>
            </w:pPr>
            <w:r w:rsidRPr="00726BD5">
              <w:rPr>
                <w:rFonts w:ascii="Montserrat" w:eastAsia="Times New Roman" w:hAnsi="Montserrat" w:cs="Arial"/>
                <w:bCs/>
                <w:lang w:eastAsia="es-ES"/>
              </w:rPr>
              <w:t>70,345,925,430.23</w:t>
            </w:r>
          </w:p>
        </w:tc>
      </w:tr>
    </w:tbl>
    <w:p w14:paraId="2E888242" w14:textId="77777777" w:rsidR="009A021D" w:rsidRPr="00726BD5" w:rsidRDefault="009A021D" w:rsidP="009A021D">
      <w:pPr>
        <w:spacing w:after="120" w:line="224" w:lineRule="exact"/>
        <w:jc w:val="both"/>
        <w:rPr>
          <w:rFonts w:ascii="Montserrat" w:eastAsia="Times New Roman" w:hAnsi="Montserrat" w:cs="Arial"/>
          <w:bCs/>
          <w:lang w:val="es-MX" w:eastAsia="es-E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977"/>
      </w:tblGrid>
      <w:tr w:rsidR="00FD2DE6" w:rsidRPr="00726BD5" w14:paraId="7E5D581F" w14:textId="77777777" w:rsidTr="00B11397">
        <w:tc>
          <w:tcPr>
            <w:tcW w:w="8931" w:type="dxa"/>
            <w:gridSpan w:val="2"/>
            <w:shd w:val="clear" w:color="auto" w:fill="D9D9D9" w:themeFill="background1" w:themeFillShade="D9"/>
            <w:vAlign w:val="center"/>
          </w:tcPr>
          <w:p w14:paraId="4CF8C2FE" w14:textId="2BAC223A" w:rsidR="00447E14" w:rsidRPr="00726BD5" w:rsidRDefault="009A021D" w:rsidP="005D0CB2">
            <w:pPr>
              <w:spacing w:after="120" w:line="216" w:lineRule="exact"/>
              <w:ind w:firstLine="288"/>
              <w:jc w:val="center"/>
              <w:rPr>
                <w:rFonts w:ascii="Montserrat" w:hAnsi="Montserrat" w:cs="Arial"/>
                <w:b/>
              </w:rPr>
            </w:pPr>
            <w:r w:rsidRPr="00726BD5">
              <w:rPr>
                <w:rFonts w:ascii="Montserrat" w:hAnsi="Montserrat"/>
                <w:b/>
                <w:lang w:val="es-MX"/>
              </w:rPr>
              <w:br w:type="page"/>
            </w:r>
            <w:r w:rsidR="00447E14" w:rsidRPr="00726BD5">
              <w:rPr>
                <w:rFonts w:ascii="Montserrat" w:hAnsi="Montserrat" w:cs="Arial"/>
                <w:b/>
              </w:rPr>
              <w:t>Cuentas de Orden Presupuestarias de Egresos</w:t>
            </w:r>
          </w:p>
        </w:tc>
      </w:tr>
      <w:tr w:rsidR="00FD2DE6" w:rsidRPr="00726BD5" w14:paraId="14717778" w14:textId="77777777" w:rsidTr="00B11397">
        <w:tc>
          <w:tcPr>
            <w:tcW w:w="5954" w:type="dxa"/>
            <w:shd w:val="clear" w:color="auto" w:fill="D9D9D9" w:themeFill="background1" w:themeFillShade="D9"/>
            <w:vAlign w:val="center"/>
          </w:tcPr>
          <w:p w14:paraId="5E0A92E6" w14:textId="77777777" w:rsidR="00447E14" w:rsidRPr="00726BD5" w:rsidRDefault="00447E14" w:rsidP="005D0CB2">
            <w:pPr>
              <w:spacing w:after="120" w:line="216" w:lineRule="exact"/>
              <w:ind w:firstLine="288"/>
              <w:jc w:val="center"/>
              <w:rPr>
                <w:rFonts w:ascii="Montserrat" w:hAnsi="Montserrat" w:cs="Arial"/>
                <w:b/>
              </w:rPr>
            </w:pPr>
            <w:r w:rsidRPr="00726BD5">
              <w:rPr>
                <w:rFonts w:ascii="Montserrat" w:hAnsi="Montserrat" w:cs="Arial"/>
                <w:b/>
              </w:rPr>
              <w:t>Concepto</w:t>
            </w:r>
          </w:p>
        </w:tc>
        <w:tc>
          <w:tcPr>
            <w:tcW w:w="2977" w:type="dxa"/>
            <w:shd w:val="clear" w:color="auto" w:fill="D9D9D9" w:themeFill="background1" w:themeFillShade="D9"/>
            <w:vAlign w:val="center"/>
          </w:tcPr>
          <w:p w14:paraId="56B26249" w14:textId="4FF66F6C" w:rsidR="00447E14" w:rsidRPr="00726BD5" w:rsidRDefault="00447E14" w:rsidP="005D0CB2">
            <w:pPr>
              <w:spacing w:after="120" w:line="216" w:lineRule="exact"/>
              <w:ind w:firstLine="288"/>
              <w:jc w:val="center"/>
              <w:rPr>
                <w:rFonts w:ascii="Montserrat" w:hAnsi="Montserrat" w:cs="Arial"/>
                <w:b/>
              </w:rPr>
            </w:pPr>
            <w:r w:rsidRPr="00726BD5">
              <w:rPr>
                <w:rFonts w:ascii="Montserrat" w:hAnsi="Montserrat" w:cs="Arial"/>
                <w:b/>
              </w:rPr>
              <w:t>202</w:t>
            </w:r>
            <w:r w:rsidR="00B46653" w:rsidRPr="00726BD5">
              <w:rPr>
                <w:rFonts w:ascii="Montserrat" w:hAnsi="Montserrat" w:cs="Arial"/>
                <w:b/>
              </w:rPr>
              <w:t>5</w:t>
            </w:r>
          </w:p>
        </w:tc>
      </w:tr>
      <w:tr w:rsidR="00F532CF" w:rsidRPr="00726BD5" w14:paraId="23A3F51B" w14:textId="77777777" w:rsidTr="00B11397">
        <w:trPr>
          <w:trHeight w:val="198"/>
        </w:trPr>
        <w:tc>
          <w:tcPr>
            <w:tcW w:w="5954" w:type="dxa"/>
            <w:shd w:val="clear" w:color="auto" w:fill="auto"/>
            <w:vAlign w:val="center"/>
          </w:tcPr>
          <w:p w14:paraId="6000EE1D" w14:textId="77777777" w:rsidR="00F532CF" w:rsidRPr="00726BD5" w:rsidRDefault="00F532CF" w:rsidP="004B3592">
            <w:pPr>
              <w:spacing w:before="60" w:after="60" w:line="216" w:lineRule="exact"/>
              <w:rPr>
                <w:rFonts w:ascii="Montserrat" w:hAnsi="Montserrat" w:cs="Arial"/>
                <w:bCs/>
              </w:rPr>
            </w:pPr>
            <w:r w:rsidRPr="00726BD5">
              <w:rPr>
                <w:rFonts w:ascii="Montserrat" w:hAnsi="Montserrat" w:cs="Arial"/>
                <w:bCs/>
              </w:rPr>
              <w:t>Presupuesto de Egresos Aprobado</w:t>
            </w:r>
          </w:p>
        </w:tc>
        <w:tc>
          <w:tcPr>
            <w:tcW w:w="2977" w:type="dxa"/>
            <w:shd w:val="clear" w:color="auto" w:fill="auto"/>
            <w:vAlign w:val="center"/>
          </w:tcPr>
          <w:p w14:paraId="1EBBBF3B" w14:textId="2A06F2E7" w:rsidR="00F532CF" w:rsidRPr="00726BD5" w:rsidRDefault="00B34481" w:rsidP="004B3592">
            <w:pPr>
              <w:spacing w:before="60" w:after="60"/>
              <w:jc w:val="right"/>
              <w:rPr>
                <w:rFonts w:ascii="Montserrat" w:eastAsia="Times New Roman" w:hAnsi="Montserrat" w:cs="Arial"/>
                <w:bCs/>
                <w:lang w:eastAsia="es-ES"/>
              </w:rPr>
            </w:pPr>
            <w:r w:rsidRPr="00726BD5">
              <w:rPr>
                <w:rFonts w:ascii="Montserrat" w:eastAsia="Times New Roman" w:hAnsi="Montserrat" w:cs="Arial"/>
                <w:bCs/>
                <w:lang w:eastAsia="es-ES"/>
              </w:rPr>
              <w:t>103,000,967,838.00</w:t>
            </w:r>
          </w:p>
        </w:tc>
      </w:tr>
      <w:tr w:rsidR="00F532CF" w:rsidRPr="00726BD5" w14:paraId="59E7FC9E" w14:textId="77777777" w:rsidTr="00B11397">
        <w:tc>
          <w:tcPr>
            <w:tcW w:w="5954" w:type="dxa"/>
            <w:shd w:val="clear" w:color="auto" w:fill="auto"/>
            <w:vAlign w:val="center"/>
          </w:tcPr>
          <w:p w14:paraId="63FEC8E6" w14:textId="77777777" w:rsidR="00F532CF" w:rsidRPr="00726BD5" w:rsidRDefault="00F532CF" w:rsidP="004B3592">
            <w:pPr>
              <w:spacing w:before="60" w:after="60" w:line="216" w:lineRule="exact"/>
              <w:rPr>
                <w:rFonts w:ascii="Montserrat" w:hAnsi="Montserrat" w:cs="Arial"/>
                <w:bCs/>
              </w:rPr>
            </w:pPr>
            <w:r w:rsidRPr="00726BD5">
              <w:rPr>
                <w:rFonts w:ascii="Montserrat" w:hAnsi="Montserrat" w:cs="Arial"/>
                <w:bCs/>
              </w:rPr>
              <w:t>Presupuesto de Egresos por Ejercer</w:t>
            </w:r>
          </w:p>
        </w:tc>
        <w:tc>
          <w:tcPr>
            <w:tcW w:w="2977" w:type="dxa"/>
            <w:shd w:val="clear" w:color="auto" w:fill="auto"/>
            <w:vAlign w:val="center"/>
          </w:tcPr>
          <w:p w14:paraId="406E1352" w14:textId="66F93E1A" w:rsidR="00F532CF" w:rsidRPr="00726BD5" w:rsidRDefault="00B34481" w:rsidP="004B3592">
            <w:pPr>
              <w:spacing w:before="60" w:after="60"/>
              <w:jc w:val="right"/>
              <w:rPr>
                <w:rFonts w:ascii="Montserrat" w:eastAsia="Times New Roman" w:hAnsi="Montserrat" w:cs="Arial"/>
                <w:bCs/>
                <w:lang w:eastAsia="es-ES"/>
              </w:rPr>
            </w:pPr>
            <w:r w:rsidRPr="00726BD5">
              <w:rPr>
                <w:rFonts w:ascii="Montserrat" w:eastAsia="Times New Roman" w:hAnsi="Montserrat" w:cs="Arial"/>
                <w:bCs/>
                <w:lang w:eastAsia="es-ES"/>
              </w:rPr>
              <w:t>73,337,054,238.11</w:t>
            </w:r>
          </w:p>
        </w:tc>
      </w:tr>
      <w:tr w:rsidR="00F532CF" w:rsidRPr="00726BD5" w14:paraId="45F7A2D4" w14:textId="77777777" w:rsidTr="00B11397">
        <w:tc>
          <w:tcPr>
            <w:tcW w:w="5954" w:type="dxa"/>
            <w:shd w:val="clear" w:color="auto" w:fill="auto"/>
            <w:vAlign w:val="center"/>
          </w:tcPr>
          <w:p w14:paraId="33D30C58" w14:textId="77777777" w:rsidR="00F532CF" w:rsidRPr="00726BD5" w:rsidRDefault="00F532CF" w:rsidP="004B3592">
            <w:pPr>
              <w:spacing w:before="60" w:after="60" w:line="216" w:lineRule="exact"/>
              <w:rPr>
                <w:rFonts w:ascii="Montserrat" w:hAnsi="Montserrat" w:cs="Arial"/>
                <w:bCs/>
              </w:rPr>
            </w:pPr>
            <w:r w:rsidRPr="00726BD5">
              <w:rPr>
                <w:rFonts w:ascii="Montserrat" w:hAnsi="Montserrat" w:cs="Arial"/>
                <w:bCs/>
              </w:rPr>
              <w:t>Modificaciones al Presupuesto de Egresos Aprobado</w:t>
            </w:r>
          </w:p>
        </w:tc>
        <w:tc>
          <w:tcPr>
            <w:tcW w:w="2977" w:type="dxa"/>
            <w:shd w:val="clear" w:color="auto" w:fill="auto"/>
            <w:vAlign w:val="center"/>
          </w:tcPr>
          <w:p w14:paraId="428D68BB" w14:textId="088F92A4" w:rsidR="00F532CF" w:rsidRPr="00726BD5" w:rsidRDefault="00B34481" w:rsidP="004B3592">
            <w:pPr>
              <w:spacing w:before="60" w:after="60"/>
              <w:jc w:val="right"/>
              <w:rPr>
                <w:rFonts w:ascii="Montserrat" w:eastAsia="Times New Roman" w:hAnsi="Montserrat" w:cs="Arial"/>
                <w:bCs/>
                <w:lang w:eastAsia="es-ES"/>
              </w:rPr>
            </w:pPr>
            <w:r w:rsidRPr="00726BD5">
              <w:rPr>
                <w:rFonts w:ascii="Montserrat" w:eastAsia="Times New Roman" w:hAnsi="Montserrat" w:cs="Arial"/>
                <w:bCs/>
                <w:lang w:eastAsia="es-ES"/>
              </w:rPr>
              <w:t>19,515,959,537.89</w:t>
            </w:r>
          </w:p>
        </w:tc>
      </w:tr>
      <w:tr w:rsidR="00B34481" w:rsidRPr="00726BD5" w14:paraId="659B8515" w14:textId="77777777" w:rsidTr="00B11397">
        <w:trPr>
          <w:trHeight w:val="405"/>
        </w:trPr>
        <w:tc>
          <w:tcPr>
            <w:tcW w:w="5954" w:type="dxa"/>
            <w:shd w:val="clear" w:color="auto" w:fill="auto"/>
            <w:vAlign w:val="center"/>
          </w:tcPr>
          <w:p w14:paraId="482E7123" w14:textId="3CCA512C" w:rsidR="00B34481" w:rsidRPr="00726BD5" w:rsidRDefault="00B34481" w:rsidP="00B34481">
            <w:pPr>
              <w:spacing w:before="60" w:after="60" w:line="216" w:lineRule="exact"/>
              <w:rPr>
                <w:rFonts w:ascii="Montserrat" w:hAnsi="Montserrat" w:cs="Arial"/>
                <w:bCs/>
              </w:rPr>
            </w:pPr>
            <w:r w:rsidRPr="00726BD5">
              <w:rPr>
                <w:rFonts w:ascii="Montserrat" w:hAnsi="Montserrat" w:cs="Arial"/>
                <w:bCs/>
              </w:rPr>
              <w:t>Presupuesto de Egresos Comprometido</w:t>
            </w:r>
          </w:p>
        </w:tc>
        <w:tc>
          <w:tcPr>
            <w:tcW w:w="2977" w:type="dxa"/>
            <w:shd w:val="clear" w:color="auto" w:fill="auto"/>
          </w:tcPr>
          <w:p w14:paraId="38B7288D" w14:textId="53DEF4FA" w:rsidR="00B34481" w:rsidRPr="00726BD5" w:rsidRDefault="00B34481" w:rsidP="00B34481">
            <w:pPr>
              <w:spacing w:before="60" w:after="60" w:line="216" w:lineRule="exact"/>
              <w:jc w:val="right"/>
              <w:rPr>
                <w:rFonts w:ascii="Montserrat" w:hAnsi="Montserrat" w:cs="Arial"/>
                <w:bCs/>
              </w:rPr>
            </w:pPr>
            <w:r w:rsidRPr="00726BD5">
              <w:rPr>
                <w:rFonts w:ascii="Montserrat" w:hAnsi="Montserrat" w:cs="Arial"/>
                <w:bCs/>
              </w:rPr>
              <w:t>49,179,873,137.78</w:t>
            </w:r>
          </w:p>
        </w:tc>
      </w:tr>
      <w:tr w:rsidR="00B34481" w:rsidRPr="00726BD5" w14:paraId="6FD7C062" w14:textId="77777777" w:rsidTr="00B11397">
        <w:tc>
          <w:tcPr>
            <w:tcW w:w="5954" w:type="dxa"/>
            <w:shd w:val="clear" w:color="auto" w:fill="auto"/>
            <w:vAlign w:val="center"/>
          </w:tcPr>
          <w:p w14:paraId="1A4D6AFF" w14:textId="77777777" w:rsidR="00B34481" w:rsidRPr="00726BD5" w:rsidRDefault="00B34481" w:rsidP="00B34481">
            <w:pPr>
              <w:spacing w:before="60" w:after="60" w:line="216" w:lineRule="exact"/>
              <w:rPr>
                <w:rFonts w:ascii="Montserrat" w:hAnsi="Montserrat" w:cs="Arial"/>
                <w:bCs/>
              </w:rPr>
            </w:pPr>
            <w:r w:rsidRPr="00726BD5">
              <w:rPr>
                <w:rFonts w:ascii="Montserrat" w:hAnsi="Montserrat" w:cs="Arial"/>
                <w:bCs/>
              </w:rPr>
              <w:t>Presupuesto de Egresos Devengado</w:t>
            </w:r>
          </w:p>
        </w:tc>
        <w:tc>
          <w:tcPr>
            <w:tcW w:w="2977" w:type="dxa"/>
            <w:shd w:val="clear" w:color="auto" w:fill="auto"/>
          </w:tcPr>
          <w:p w14:paraId="270E6F7C" w14:textId="74C3C5F6" w:rsidR="00B34481" w:rsidRPr="00726BD5" w:rsidRDefault="00B34481" w:rsidP="00B34481">
            <w:pPr>
              <w:spacing w:before="60" w:after="60" w:line="216" w:lineRule="exact"/>
              <w:jc w:val="right"/>
              <w:rPr>
                <w:rFonts w:ascii="Montserrat" w:hAnsi="Montserrat" w:cs="Arial"/>
                <w:bCs/>
              </w:rPr>
            </w:pPr>
            <w:r w:rsidRPr="00726BD5">
              <w:rPr>
                <w:rFonts w:ascii="Montserrat" w:hAnsi="Montserrat" w:cs="Arial"/>
                <w:bCs/>
              </w:rPr>
              <w:t>46,749,454,714.87</w:t>
            </w:r>
          </w:p>
        </w:tc>
      </w:tr>
      <w:tr w:rsidR="00B34481" w:rsidRPr="00726BD5" w14:paraId="4505D8B8" w14:textId="77777777" w:rsidTr="00B11397">
        <w:tc>
          <w:tcPr>
            <w:tcW w:w="5954" w:type="dxa"/>
            <w:shd w:val="clear" w:color="auto" w:fill="auto"/>
            <w:vAlign w:val="center"/>
          </w:tcPr>
          <w:p w14:paraId="42FC75B9" w14:textId="77777777" w:rsidR="00B34481" w:rsidRPr="00726BD5" w:rsidRDefault="00B34481" w:rsidP="00B34481">
            <w:pPr>
              <w:spacing w:before="60" w:after="60" w:line="216" w:lineRule="exact"/>
              <w:rPr>
                <w:rFonts w:ascii="Montserrat" w:hAnsi="Montserrat" w:cs="Arial"/>
                <w:bCs/>
              </w:rPr>
            </w:pPr>
            <w:r w:rsidRPr="00726BD5">
              <w:rPr>
                <w:rFonts w:ascii="Montserrat" w:hAnsi="Montserrat" w:cs="Arial"/>
                <w:bCs/>
              </w:rPr>
              <w:t>Presupuesto de Egresos Ejercido</w:t>
            </w:r>
          </w:p>
        </w:tc>
        <w:tc>
          <w:tcPr>
            <w:tcW w:w="2977" w:type="dxa"/>
            <w:shd w:val="clear" w:color="auto" w:fill="auto"/>
          </w:tcPr>
          <w:p w14:paraId="6A3D1970" w14:textId="10D08FD8" w:rsidR="00B34481" w:rsidRPr="00726BD5" w:rsidRDefault="00B34481" w:rsidP="00B34481">
            <w:pPr>
              <w:spacing w:before="60" w:after="60" w:line="216" w:lineRule="exact"/>
              <w:jc w:val="right"/>
              <w:rPr>
                <w:rFonts w:ascii="Montserrat" w:hAnsi="Montserrat" w:cs="Arial"/>
                <w:bCs/>
              </w:rPr>
            </w:pPr>
            <w:r w:rsidRPr="00726BD5">
              <w:rPr>
                <w:rFonts w:ascii="Montserrat" w:hAnsi="Montserrat" w:cs="Arial"/>
                <w:bCs/>
              </w:rPr>
              <w:t>46,747,831,331.91</w:t>
            </w:r>
          </w:p>
        </w:tc>
      </w:tr>
      <w:tr w:rsidR="00B34481" w:rsidRPr="00726BD5" w14:paraId="73FF130F" w14:textId="77777777" w:rsidTr="00B11397">
        <w:tc>
          <w:tcPr>
            <w:tcW w:w="5954" w:type="dxa"/>
            <w:shd w:val="clear" w:color="auto" w:fill="auto"/>
            <w:vAlign w:val="center"/>
          </w:tcPr>
          <w:p w14:paraId="0C57EE6D" w14:textId="77777777" w:rsidR="00B34481" w:rsidRPr="00726BD5" w:rsidRDefault="00B34481" w:rsidP="00B34481">
            <w:pPr>
              <w:spacing w:before="60" w:after="60" w:line="216" w:lineRule="exact"/>
              <w:rPr>
                <w:rFonts w:ascii="Montserrat" w:hAnsi="Montserrat" w:cs="Arial"/>
                <w:bCs/>
              </w:rPr>
            </w:pPr>
            <w:r w:rsidRPr="00726BD5">
              <w:rPr>
                <w:rFonts w:ascii="Montserrat" w:hAnsi="Montserrat" w:cs="Arial"/>
                <w:bCs/>
              </w:rPr>
              <w:t>Presupuesto de Egresos Pagado</w:t>
            </w:r>
          </w:p>
        </w:tc>
        <w:tc>
          <w:tcPr>
            <w:tcW w:w="2977" w:type="dxa"/>
            <w:shd w:val="clear" w:color="auto" w:fill="auto"/>
          </w:tcPr>
          <w:p w14:paraId="24628E70" w14:textId="0CED411C" w:rsidR="00B34481" w:rsidRPr="00726BD5" w:rsidRDefault="00B34481" w:rsidP="00B34481">
            <w:pPr>
              <w:spacing w:before="60" w:after="60" w:line="216" w:lineRule="exact"/>
              <w:jc w:val="right"/>
              <w:rPr>
                <w:rFonts w:ascii="Montserrat" w:hAnsi="Montserrat" w:cs="Arial"/>
                <w:bCs/>
              </w:rPr>
            </w:pPr>
            <w:r w:rsidRPr="00726BD5">
              <w:rPr>
                <w:rFonts w:ascii="Montserrat" w:hAnsi="Montserrat" w:cs="Arial"/>
                <w:bCs/>
              </w:rPr>
              <w:t>46,381,011,877.13</w:t>
            </w:r>
          </w:p>
        </w:tc>
      </w:tr>
    </w:tbl>
    <w:p w14:paraId="4719E37C" w14:textId="77777777" w:rsidR="00447E14" w:rsidRPr="00726BD5" w:rsidRDefault="00447E14" w:rsidP="009A021D">
      <w:pPr>
        <w:spacing w:after="120" w:line="224" w:lineRule="exact"/>
        <w:jc w:val="both"/>
        <w:rPr>
          <w:rFonts w:ascii="Montserrat" w:eastAsia="Times New Roman" w:hAnsi="Montserrat" w:cs="Arial"/>
          <w:bCs/>
          <w:lang w:val="es-MX" w:eastAsia="es-ES"/>
        </w:rPr>
      </w:pPr>
    </w:p>
    <w:p w14:paraId="4738D421" w14:textId="77777777" w:rsidR="00447E14" w:rsidRPr="00726BD5" w:rsidRDefault="00447E14" w:rsidP="009A021D">
      <w:pPr>
        <w:spacing w:after="120" w:line="224" w:lineRule="exact"/>
        <w:jc w:val="both"/>
        <w:rPr>
          <w:rFonts w:ascii="Montserrat" w:eastAsia="Times New Roman" w:hAnsi="Montserrat" w:cs="Arial"/>
          <w:bCs/>
          <w:lang w:val="es-MX" w:eastAsia="es-ES"/>
        </w:rPr>
      </w:pPr>
    </w:p>
    <w:p w14:paraId="6A2EC5C9" w14:textId="77777777" w:rsidR="00447E14" w:rsidRPr="00726BD5" w:rsidRDefault="00447E14" w:rsidP="009A021D">
      <w:pPr>
        <w:spacing w:after="120" w:line="224" w:lineRule="exact"/>
        <w:jc w:val="both"/>
        <w:rPr>
          <w:rFonts w:ascii="Montserrat" w:eastAsia="Times New Roman" w:hAnsi="Montserrat" w:cs="Arial"/>
          <w:bCs/>
          <w:lang w:val="es-MX" w:eastAsia="es-ES"/>
        </w:rPr>
      </w:pPr>
    </w:p>
    <w:p w14:paraId="04E294D9" w14:textId="77777777" w:rsidR="009A021D" w:rsidRPr="00726BD5" w:rsidRDefault="009A021D" w:rsidP="009A021D">
      <w:pPr>
        <w:jc w:val="center"/>
        <w:rPr>
          <w:rFonts w:ascii="Montserrat" w:hAnsi="Montserrat"/>
          <w:b/>
        </w:rPr>
      </w:pPr>
    </w:p>
    <w:p w14:paraId="0374FC9D" w14:textId="77777777" w:rsidR="009A021D" w:rsidRPr="00726BD5" w:rsidRDefault="009A021D" w:rsidP="009A021D">
      <w:pPr>
        <w:tabs>
          <w:tab w:val="left" w:pos="7260"/>
        </w:tabs>
        <w:jc w:val="both"/>
        <w:rPr>
          <w:rFonts w:ascii="Montserrat" w:eastAsia="Times New Roman" w:hAnsi="Montserrat" w:cs="Arial"/>
        </w:rPr>
      </w:pPr>
    </w:p>
    <w:p w14:paraId="481787AF" w14:textId="77777777" w:rsidR="009A021D" w:rsidRPr="00726BD5" w:rsidRDefault="009A021D" w:rsidP="009A021D">
      <w:pPr>
        <w:ind w:firstLine="720"/>
        <w:rPr>
          <w:rFonts w:ascii="Montserrat" w:hAnsi="Montserrat"/>
        </w:rPr>
      </w:pPr>
    </w:p>
    <w:p w14:paraId="3A3FC7D6" w14:textId="77777777" w:rsidR="00CD0070" w:rsidRPr="00726BD5" w:rsidRDefault="00CD0070" w:rsidP="00CD0070">
      <w:pPr>
        <w:rPr>
          <w:rFonts w:ascii="Montserrat" w:hAnsi="Montserrat"/>
        </w:rPr>
      </w:pPr>
    </w:p>
    <w:p w14:paraId="6E8038E1" w14:textId="77777777" w:rsidR="00CD0070" w:rsidRPr="00726BD5" w:rsidRDefault="00CD0070" w:rsidP="00CD0070">
      <w:pPr>
        <w:rPr>
          <w:rFonts w:ascii="Montserrat" w:hAnsi="Montserrat"/>
        </w:rPr>
      </w:pPr>
    </w:p>
    <w:p w14:paraId="1B74A39D" w14:textId="77777777" w:rsidR="00CD0070" w:rsidRPr="00726BD5" w:rsidRDefault="00CD0070" w:rsidP="00CD0070">
      <w:pPr>
        <w:rPr>
          <w:rFonts w:ascii="Montserrat" w:hAnsi="Montserrat"/>
        </w:rPr>
      </w:pPr>
    </w:p>
    <w:p w14:paraId="1F9422FB" w14:textId="77777777" w:rsidR="00CD0070" w:rsidRPr="00726BD5" w:rsidRDefault="00CD0070" w:rsidP="00CD0070">
      <w:pPr>
        <w:rPr>
          <w:rFonts w:ascii="Montserrat" w:hAnsi="Montserrat"/>
        </w:rPr>
      </w:pPr>
    </w:p>
    <w:p w14:paraId="7C1D36E6" w14:textId="77777777" w:rsidR="00CD0070" w:rsidRPr="00726BD5" w:rsidRDefault="00CD0070" w:rsidP="00CD0070">
      <w:pPr>
        <w:rPr>
          <w:rFonts w:ascii="Montserrat" w:hAnsi="Montserrat"/>
        </w:rPr>
      </w:pPr>
    </w:p>
    <w:p w14:paraId="5258C265" w14:textId="77777777" w:rsidR="00CD0070" w:rsidRPr="00726BD5" w:rsidRDefault="00CD0070" w:rsidP="00CD0070">
      <w:pPr>
        <w:rPr>
          <w:rFonts w:ascii="Montserrat" w:hAnsi="Montserrat"/>
        </w:rPr>
      </w:pPr>
    </w:p>
    <w:p w14:paraId="0B9D8E8D" w14:textId="77777777" w:rsidR="00CD0070" w:rsidRPr="00726BD5" w:rsidRDefault="00CD0070" w:rsidP="00CD0070">
      <w:pPr>
        <w:jc w:val="center"/>
        <w:rPr>
          <w:rFonts w:ascii="Montserrat" w:hAnsi="Montserrat"/>
        </w:rPr>
      </w:pPr>
    </w:p>
    <w:sectPr w:rsidR="00CD0070" w:rsidRPr="00726BD5" w:rsidSect="00862C05">
      <w:headerReference w:type="even" r:id="rId23"/>
      <w:headerReference w:type="default" r:id="rId24"/>
      <w:footerReference w:type="even" r:id="rId25"/>
      <w:footerReference w:type="default" r:id="rId26"/>
      <w:pgSz w:w="12240" w:h="15840"/>
      <w:pgMar w:top="2835" w:right="1467" w:bottom="567" w:left="1843" w:header="1985" w:footer="7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D567D" w14:textId="77777777" w:rsidR="00D03919" w:rsidRDefault="00D03919">
      <w:r>
        <w:separator/>
      </w:r>
    </w:p>
  </w:endnote>
  <w:endnote w:type="continuationSeparator" w:id="0">
    <w:p w14:paraId="23E6331A" w14:textId="77777777" w:rsidR="00D03919" w:rsidRDefault="00D03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serat medium">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Univia Pro Book">
    <w:altName w:val="Arial"/>
    <w:panose1 w:val="00000000000000000000"/>
    <w:charset w:val="00"/>
    <w:family w:val="modern"/>
    <w:notTrueType/>
    <w:pitch w:val="variable"/>
    <w:sig w:usb0="A00002EF" w:usb1="5000E47B" w:usb2="00000000" w:usb3="00000000" w:csb0="00000097"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Montserrat">
    <w:altName w:val="Times New Roman"/>
    <w:panose1 w:val="00000000000000000000"/>
    <w:charset w:val="00"/>
    <w:family w:val="auto"/>
    <w:pitch w:val="variable"/>
    <w:sig w:usb0="A00002FF" w:usb1="4000207B"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84987" w14:textId="77777777" w:rsidR="00912EC3" w:rsidRDefault="00912EC3">
    <w:pPr>
      <w:pBdr>
        <w:top w:val="nil"/>
        <w:left w:val="nil"/>
        <w:bottom w:val="nil"/>
        <w:right w:val="nil"/>
        <w:between w:val="nil"/>
      </w:pBdr>
      <w:tabs>
        <w:tab w:val="center" w:pos="4252"/>
        <w:tab w:val="right" w:pos="8504"/>
      </w:tabs>
      <w:jc w:val="right"/>
      <w:rPr>
        <w:color w:val="000000"/>
        <w:sz w:val="16"/>
        <w:szCs w:val="16"/>
      </w:rPr>
    </w:pPr>
    <w:r>
      <w:rPr>
        <w:noProof/>
        <w:color w:val="000000"/>
        <w:sz w:val="16"/>
        <w:szCs w:val="16"/>
        <w:lang w:val="es-MX"/>
      </w:rPr>
      <w:drawing>
        <wp:inline distT="0" distB="0" distL="0" distR="0" wp14:anchorId="5ED69DAA" wp14:editId="6A6B6EA7">
          <wp:extent cx="6115050" cy="161925"/>
          <wp:effectExtent l="0" t="0" r="0" b="0"/>
          <wp:docPr id="8137563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15050" cy="161925"/>
                  </a:xfrm>
                  <a:prstGeom prst="rect">
                    <a:avLst/>
                  </a:prstGeom>
                  <a:ln/>
                </pic:spPr>
              </pic:pic>
            </a:graphicData>
          </a:graphic>
        </wp:inline>
      </w:drawing>
    </w:r>
  </w:p>
  <w:p w14:paraId="6B097251" w14:textId="0DF287B9" w:rsidR="00912EC3" w:rsidRDefault="00912EC3">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separate"/>
    </w:r>
    <w:r w:rsidR="00C3129B">
      <w:rPr>
        <w:noProof/>
        <w:color w:val="000000"/>
      </w:rPr>
      <w:t>69</w:t>
    </w:r>
    <w:r>
      <w:rPr>
        <w:color w:val="000000"/>
      </w:rPr>
      <w:fldChar w:fldCharType="end"/>
    </w:r>
  </w:p>
  <w:p w14:paraId="6473890E" w14:textId="77777777" w:rsidR="00912EC3" w:rsidRDefault="00912EC3">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Cuenta Pública del Estado</w:t>
    </w:r>
  </w:p>
  <w:p w14:paraId="3F5DD333" w14:textId="5609A7D3" w:rsidR="00912EC3" w:rsidRDefault="00912EC3">
    <w:pPr>
      <w:pBdr>
        <w:top w:val="nil"/>
        <w:left w:val="nil"/>
        <w:bottom w:val="nil"/>
        <w:right w:val="nil"/>
        <w:between w:val="nil"/>
      </w:pBdr>
      <w:tabs>
        <w:tab w:val="center" w:pos="4252"/>
        <w:tab w:val="right" w:pos="8504"/>
      </w:tabs>
      <w:jc w:val="right"/>
      <w:rPr>
        <w:color w:val="000000"/>
      </w:rPr>
    </w:pPr>
    <w:r>
      <w:rPr>
        <w:color w:val="000000"/>
        <w:sz w:val="16"/>
        <w:szCs w:val="16"/>
      </w:rPr>
      <w:t>Periodo noviembre-marzo del ejercicio 2010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C050A" w14:textId="4E2C4A93" w:rsidR="00912EC3" w:rsidRDefault="00912EC3" w:rsidP="00344200">
    <w:pPr>
      <w:pBdr>
        <w:top w:val="nil"/>
        <w:left w:val="nil"/>
        <w:bottom w:val="nil"/>
        <w:right w:val="nil"/>
        <w:between w:val="nil"/>
      </w:pBdr>
      <w:tabs>
        <w:tab w:val="center" w:pos="4252"/>
        <w:tab w:val="right" w:pos="8504"/>
      </w:tabs>
      <w:jc w:val="right"/>
      <w:rPr>
        <w:color w:val="000000"/>
        <w:sz w:val="16"/>
        <w:szCs w:val="16"/>
      </w:rPr>
    </w:pPr>
  </w:p>
  <w:p w14:paraId="6193B278" w14:textId="2C151084" w:rsidR="00813532" w:rsidRPr="00726BD5" w:rsidRDefault="00726BD5" w:rsidP="00726BD5">
    <w:pPr>
      <w:pBdr>
        <w:top w:val="nil"/>
        <w:left w:val="nil"/>
        <w:bottom w:val="nil"/>
        <w:right w:val="nil"/>
        <w:between w:val="nil"/>
      </w:pBdr>
      <w:tabs>
        <w:tab w:val="center" w:pos="4252"/>
        <w:tab w:val="right" w:pos="8504"/>
      </w:tabs>
      <w:jc w:val="right"/>
      <w:rPr>
        <w:rFonts w:ascii="Montserrat" w:hAnsi="Montserrat"/>
        <w:color w:val="000000"/>
        <w:sz w:val="16"/>
        <w:szCs w:val="16"/>
      </w:rPr>
    </w:pPr>
    <w:r w:rsidRPr="00726BD5">
      <w:rPr>
        <w:rFonts w:ascii="Montserrat" w:hAnsi="Montserrat"/>
        <w:color w:val="000000"/>
        <w:sz w:val="16"/>
        <w:szCs w:val="16"/>
      </w:rPr>
      <w:t>Segundo Informe de Avance de Gestión Financiera enero-junio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7DA30" w14:textId="77777777" w:rsidR="00D03919" w:rsidRDefault="00D03919">
      <w:r>
        <w:separator/>
      </w:r>
    </w:p>
  </w:footnote>
  <w:footnote w:type="continuationSeparator" w:id="0">
    <w:p w14:paraId="0213BB62" w14:textId="77777777" w:rsidR="00D03919" w:rsidRDefault="00D03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E5DAF" w14:textId="77777777" w:rsidR="00912EC3" w:rsidRDefault="00912EC3">
    <w:pPr>
      <w:pBdr>
        <w:top w:val="nil"/>
        <w:left w:val="nil"/>
        <w:bottom w:val="nil"/>
        <w:right w:val="nil"/>
        <w:between w:val="nil"/>
      </w:pBdr>
      <w:tabs>
        <w:tab w:val="center" w:pos="4252"/>
        <w:tab w:val="right" w:pos="8504"/>
        <w:tab w:val="center" w:pos="4561"/>
        <w:tab w:val="right" w:pos="9122"/>
      </w:tabs>
      <w:rPr>
        <w:color w:val="000000"/>
      </w:rPr>
    </w:pPr>
    <w:r>
      <w:rPr>
        <w:noProof/>
        <w:lang w:val="es-MX"/>
      </w:rPr>
      <w:drawing>
        <wp:anchor distT="0" distB="0" distL="114300" distR="114300" simplePos="0" relativeHeight="251659264" behindDoc="0" locked="0" layoutInCell="1" hidden="0" allowOverlap="1" wp14:anchorId="6D0CC69C" wp14:editId="1E2C46EF">
          <wp:simplePos x="0" y="0"/>
          <wp:positionH relativeFrom="column">
            <wp:posOffset>8</wp:posOffset>
          </wp:positionH>
          <wp:positionV relativeFrom="paragraph">
            <wp:posOffset>-900422</wp:posOffset>
          </wp:positionV>
          <wp:extent cx="2832100" cy="901700"/>
          <wp:effectExtent l="0" t="0" r="0" b="0"/>
          <wp:wrapSquare wrapText="bothSides" distT="0" distB="0" distL="114300" distR="114300"/>
          <wp:docPr id="2331647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32100" cy="901700"/>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14:anchorId="23AA06D5" wp14:editId="4CD4E235">
          <wp:simplePos x="0" y="0"/>
          <wp:positionH relativeFrom="column">
            <wp:posOffset>5014595</wp:posOffset>
          </wp:positionH>
          <wp:positionV relativeFrom="paragraph">
            <wp:posOffset>-900422</wp:posOffset>
          </wp:positionV>
          <wp:extent cx="1116965" cy="899795"/>
          <wp:effectExtent l="0" t="0" r="0" b="0"/>
          <wp:wrapSquare wrapText="bothSides" distT="0" distB="0" distL="114300" distR="114300"/>
          <wp:docPr id="327422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6965" cy="8997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01A9" w14:textId="77777777" w:rsidR="00912EC3" w:rsidRDefault="00912EC3">
    <w:pPr>
      <w:jc w:val="right"/>
    </w:pPr>
    <w:r>
      <w:rPr>
        <w:noProof/>
        <w:lang w:val="es-MX"/>
      </w:rPr>
      <w:drawing>
        <wp:anchor distT="0" distB="0" distL="114300" distR="114300" simplePos="0" relativeHeight="251658240" behindDoc="0" locked="0" layoutInCell="1" hidden="0" allowOverlap="1" wp14:anchorId="1DF6FA60" wp14:editId="26EFF6AA">
          <wp:simplePos x="0" y="0"/>
          <wp:positionH relativeFrom="column">
            <wp:posOffset>-348608</wp:posOffset>
          </wp:positionH>
          <wp:positionV relativeFrom="paragraph">
            <wp:posOffset>-999480</wp:posOffset>
          </wp:positionV>
          <wp:extent cx="1452880" cy="1448435"/>
          <wp:effectExtent l="0" t="0" r="0" b="0"/>
          <wp:wrapSquare wrapText="bothSides" distT="0" distB="0" distL="114300" distR="114300"/>
          <wp:docPr id="1665430071" name="image9.png" descr="C:\Users\admin\AppData\Local\Temp\EscudoNacional.png"/>
          <wp:cNvGraphicFramePr/>
          <a:graphic xmlns:a="http://schemas.openxmlformats.org/drawingml/2006/main">
            <a:graphicData uri="http://schemas.openxmlformats.org/drawingml/2006/picture">
              <pic:pic xmlns:pic="http://schemas.openxmlformats.org/drawingml/2006/picture">
                <pic:nvPicPr>
                  <pic:cNvPr id="0" name="image9.png" descr="C:\Users\admin\AppData\Local\Temp\EscudoNacional.png"/>
                  <pic:cNvPicPr preferRelativeResize="0"/>
                </pic:nvPicPr>
                <pic:blipFill>
                  <a:blip r:embed="rId1"/>
                  <a:srcRect/>
                  <a:stretch>
                    <a:fillRect/>
                  </a:stretch>
                </pic:blipFill>
                <pic:spPr>
                  <a:xfrm>
                    <a:off x="0" y="0"/>
                    <a:ext cx="1452880" cy="14484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C42F0"/>
    <w:multiLevelType w:val="hybridMultilevel"/>
    <w:tmpl w:val="5142E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B58F8"/>
    <w:multiLevelType w:val="hybridMultilevel"/>
    <w:tmpl w:val="55167D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41498E"/>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AB26FC"/>
    <w:multiLevelType w:val="hybridMultilevel"/>
    <w:tmpl w:val="AB822C90"/>
    <w:lvl w:ilvl="0" w:tplc="485682AE">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E7179E"/>
    <w:multiLevelType w:val="hybridMultilevel"/>
    <w:tmpl w:val="6C0EC6F8"/>
    <w:lvl w:ilvl="0" w:tplc="34B8CC20">
      <w:start w:val="1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EF385E"/>
    <w:multiLevelType w:val="hybridMultilevel"/>
    <w:tmpl w:val="511E7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556CD7"/>
    <w:multiLevelType w:val="hybridMultilevel"/>
    <w:tmpl w:val="98743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5E0869"/>
    <w:multiLevelType w:val="hybridMultilevel"/>
    <w:tmpl w:val="8DF0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7C3A65"/>
    <w:multiLevelType w:val="hybridMultilevel"/>
    <w:tmpl w:val="D27A2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957603"/>
    <w:multiLevelType w:val="hybridMultilevel"/>
    <w:tmpl w:val="50F2D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510D6C"/>
    <w:multiLevelType w:val="hybridMultilevel"/>
    <w:tmpl w:val="71D6B86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726FAD"/>
    <w:multiLevelType w:val="hybridMultilevel"/>
    <w:tmpl w:val="3A90080E"/>
    <w:lvl w:ilvl="0" w:tplc="76D695B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9B1107"/>
    <w:multiLevelType w:val="hybridMultilevel"/>
    <w:tmpl w:val="C9D8D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7B1DF6"/>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EF01F5"/>
    <w:multiLevelType w:val="hybridMultilevel"/>
    <w:tmpl w:val="55167D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A31351"/>
    <w:multiLevelType w:val="hybridMultilevel"/>
    <w:tmpl w:val="67546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8C7909"/>
    <w:multiLevelType w:val="hybridMultilevel"/>
    <w:tmpl w:val="6DB8B5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963DE8"/>
    <w:multiLevelType w:val="hybridMultilevel"/>
    <w:tmpl w:val="3E604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541573"/>
    <w:multiLevelType w:val="hybridMultilevel"/>
    <w:tmpl w:val="02EC8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DE7054"/>
    <w:multiLevelType w:val="hybridMultilevel"/>
    <w:tmpl w:val="38C8A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84749A"/>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7743DF"/>
    <w:multiLevelType w:val="multilevel"/>
    <w:tmpl w:val="9AD0C9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83A1627"/>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4367C9"/>
    <w:multiLevelType w:val="hybridMultilevel"/>
    <w:tmpl w:val="A3905AE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93B28B8"/>
    <w:multiLevelType w:val="hybridMultilevel"/>
    <w:tmpl w:val="89B0C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68358F"/>
    <w:multiLevelType w:val="hybridMultilevel"/>
    <w:tmpl w:val="DB54A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902843"/>
    <w:multiLevelType w:val="hybridMultilevel"/>
    <w:tmpl w:val="85FEC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B36352"/>
    <w:multiLevelType w:val="hybridMultilevel"/>
    <w:tmpl w:val="1C6CC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3D52FC"/>
    <w:multiLevelType w:val="hybridMultilevel"/>
    <w:tmpl w:val="A87C0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7765BF"/>
    <w:multiLevelType w:val="multilevel"/>
    <w:tmpl w:val="54909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ADC68BD"/>
    <w:multiLevelType w:val="hybridMultilevel"/>
    <w:tmpl w:val="B5F86B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3B90DD3"/>
    <w:multiLevelType w:val="hybridMultilevel"/>
    <w:tmpl w:val="EA78A138"/>
    <w:lvl w:ilvl="0" w:tplc="71065B52">
      <w:numFmt w:val="bullet"/>
      <w:lvlText w:val="•"/>
      <w:lvlJc w:val="left"/>
      <w:pPr>
        <w:ind w:left="720" w:hanging="360"/>
      </w:pPr>
      <w:rPr>
        <w:rFonts w:ascii="Monserat medium" w:eastAsia="Times New Roman" w:hAnsi="Monserat medium"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A22787"/>
    <w:multiLevelType w:val="hybridMultilevel"/>
    <w:tmpl w:val="22068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891889"/>
    <w:multiLevelType w:val="hybridMultilevel"/>
    <w:tmpl w:val="08EA4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5E7B5F"/>
    <w:multiLevelType w:val="hybridMultilevel"/>
    <w:tmpl w:val="8EC0FAB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75AE6C8F"/>
    <w:multiLevelType w:val="hybridMultilevel"/>
    <w:tmpl w:val="87121FD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77FB2B67"/>
    <w:multiLevelType w:val="hybridMultilevel"/>
    <w:tmpl w:val="B136E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F87A43"/>
    <w:multiLevelType w:val="hybridMultilevel"/>
    <w:tmpl w:val="478AD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45759A"/>
    <w:multiLevelType w:val="hybridMultilevel"/>
    <w:tmpl w:val="B324D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0F0E7D"/>
    <w:multiLevelType w:val="hybridMultilevel"/>
    <w:tmpl w:val="1C461CA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DA32570"/>
    <w:multiLevelType w:val="hybridMultilevel"/>
    <w:tmpl w:val="08AE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17605921">
    <w:abstractNumId w:val="29"/>
  </w:num>
  <w:num w:numId="2" w16cid:durableId="1320840184">
    <w:abstractNumId w:val="36"/>
  </w:num>
  <w:num w:numId="3" w16cid:durableId="535116302">
    <w:abstractNumId w:val="19"/>
  </w:num>
  <w:num w:numId="4" w16cid:durableId="1398019028">
    <w:abstractNumId w:val="27"/>
  </w:num>
  <w:num w:numId="5" w16cid:durableId="1597401097">
    <w:abstractNumId w:val="0"/>
  </w:num>
  <w:num w:numId="6" w16cid:durableId="1026056019">
    <w:abstractNumId w:val="1"/>
  </w:num>
  <w:num w:numId="7" w16cid:durableId="698942827">
    <w:abstractNumId w:val="30"/>
  </w:num>
  <w:num w:numId="8" w16cid:durableId="2048145065">
    <w:abstractNumId w:val="11"/>
  </w:num>
  <w:num w:numId="9" w16cid:durableId="1108279850">
    <w:abstractNumId w:val="28"/>
  </w:num>
  <w:num w:numId="10" w16cid:durableId="278537277">
    <w:abstractNumId w:val="7"/>
  </w:num>
  <w:num w:numId="11" w16cid:durableId="310865094">
    <w:abstractNumId w:val="15"/>
  </w:num>
  <w:num w:numId="12" w16cid:durableId="577521344">
    <w:abstractNumId w:val="2"/>
  </w:num>
  <w:num w:numId="13" w16cid:durableId="1952546192">
    <w:abstractNumId w:val="20"/>
  </w:num>
  <w:num w:numId="14" w16cid:durableId="388698171">
    <w:abstractNumId w:val="13"/>
  </w:num>
  <w:num w:numId="15" w16cid:durableId="1011957161">
    <w:abstractNumId w:val="22"/>
  </w:num>
  <w:num w:numId="16" w16cid:durableId="1864442355">
    <w:abstractNumId w:val="33"/>
  </w:num>
  <w:num w:numId="17" w16cid:durableId="1767774210">
    <w:abstractNumId w:val="31"/>
  </w:num>
  <w:num w:numId="18" w16cid:durableId="2087610142">
    <w:abstractNumId w:val="4"/>
  </w:num>
  <w:num w:numId="19" w16cid:durableId="821581137">
    <w:abstractNumId w:val="34"/>
  </w:num>
  <w:num w:numId="20" w16cid:durableId="1119909411">
    <w:abstractNumId w:val="35"/>
  </w:num>
  <w:num w:numId="21" w16cid:durableId="1304039609">
    <w:abstractNumId w:val="21"/>
  </w:num>
  <w:num w:numId="22" w16cid:durableId="598879198">
    <w:abstractNumId w:val="23"/>
  </w:num>
  <w:num w:numId="23" w16cid:durableId="1760907047">
    <w:abstractNumId w:val="25"/>
  </w:num>
  <w:num w:numId="24" w16cid:durableId="120534880">
    <w:abstractNumId w:val="12"/>
  </w:num>
  <w:num w:numId="25" w16cid:durableId="733546633">
    <w:abstractNumId w:val="8"/>
  </w:num>
  <w:num w:numId="26" w16cid:durableId="300699126">
    <w:abstractNumId w:val="6"/>
  </w:num>
  <w:num w:numId="27" w16cid:durableId="992412887">
    <w:abstractNumId w:val="32"/>
  </w:num>
  <w:num w:numId="28" w16cid:durableId="203904278">
    <w:abstractNumId w:val="37"/>
  </w:num>
  <w:num w:numId="29" w16cid:durableId="1209218996">
    <w:abstractNumId w:val="18"/>
  </w:num>
  <w:num w:numId="30" w16cid:durableId="1704164730">
    <w:abstractNumId w:val="38"/>
  </w:num>
  <w:num w:numId="31" w16cid:durableId="1451392426">
    <w:abstractNumId w:val="17"/>
  </w:num>
  <w:num w:numId="32" w16cid:durableId="131411614">
    <w:abstractNumId w:val="5"/>
  </w:num>
  <w:num w:numId="33" w16cid:durableId="1272978518">
    <w:abstractNumId w:val="24"/>
  </w:num>
  <w:num w:numId="34" w16cid:durableId="1002702788">
    <w:abstractNumId w:val="9"/>
  </w:num>
  <w:num w:numId="35" w16cid:durableId="598829469">
    <w:abstractNumId w:val="40"/>
  </w:num>
  <w:num w:numId="36" w16cid:durableId="351613491">
    <w:abstractNumId w:val="39"/>
  </w:num>
  <w:num w:numId="37" w16cid:durableId="1376544885">
    <w:abstractNumId w:val="14"/>
  </w:num>
  <w:num w:numId="38" w16cid:durableId="1623074685">
    <w:abstractNumId w:val="3"/>
  </w:num>
  <w:num w:numId="39" w16cid:durableId="1480460720">
    <w:abstractNumId w:val="26"/>
  </w:num>
  <w:num w:numId="40" w16cid:durableId="1511751322">
    <w:abstractNumId w:val="16"/>
  </w:num>
  <w:num w:numId="41" w16cid:durableId="30494240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5EA"/>
    <w:rsid w:val="00014A4A"/>
    <w:rsid w:val="00022173"/>
    <w:rsid w:val="00031666"/>
    <w:rsid w:val="00036380"/>
    <w:rsid w:val="00042437"/>
    <w:rsid w:val="0004316A"/>
    <w:rsid w:val="00047FD2"/>
    <w:rsid w:val="00070661"/>
    <w:rsid w:val="000716B8"/>
    <w:rsid w:val="000731B9"/>
    <w:rsid w:val="00076F11"/>
    <w:rsid w:val="00081373"/>
    <w:rsid w:val="000849CF"/>
    <w:rsid w:val="00087EFF"/>
    <w:rsid w:val="0009795E"/>
    <w:rsid w:val="000A5732"/>
    <w:rsid w:val="000B38F8"/>
    <w:rsid w:val="000B5417"/>
    <w:rsid w:val="000B63CE"/>
    <w:rsid w:val="000D08C5"/>
    <w:rsid w:val="000E574B"/>
    <w:rsid w:val="000F270C"/>
    <w:rsid w:val="000F4053"/>
    <w:rsid w:val="001051D7"/>
    <w:rsid w:val="001054E4"/>
    <w:rsid w:val="00106109"/>
    <w:rsid w:val="0011110F"/>
    <w:rsid w:val="0011486F"/>
    <w:rsid w:val="00115F83"/>
    <w:rsid w:val="00116294"/>
    <w:rsid w:val="00131DE1"/>
    <w:rsid w:val="00131EB0"/>
    <w:rsid w:val="001329EA"/>
    <w:rsid w:val="00135569"/>
    <w:rsid w:val="00137A29"/>
    <w:rsid w:val="001407B5"/>
    <w:rsid w:val="00140FBE"/>
    <w:rsid w:val="001456C6"/>
    <w:rsid w:val="001463D2"/>
    <w:rsid w:val="001474C3"/>
    <w:rsid w:val="00147E93"/>
    <w:rsid w:val="001532C5"/>
    <w:rsid w:val="001536E6"/>
    <w:rsid w:val="00160031"/>
    <w:rsid w:val="001649BE"/>
    <w:rsid w:val="00165939"/>
    <w:rsid w:val="00182F1C"/>
    <w:rsid w:val="00184517"/>
    <w:rsid w:val="00185F66"/>
    <w:rsid w:val="00190A6A"/>
    <w:rsid w:val="0019166E"/>
    <w:rsid w:val="00192892"/>
    <w:rsid w:val="001B07C1"/>
    <w:rsid w:val="001B0EE1"/>
    <w:rsid w:val="001B23EE"/>
    <w:rsid w:val="001C4EE1"/>
    <w:rsid w:val="001C4F85"/>
    <w:rsid w:val="001C6CE9"/>
    <w:rsid w:val="001D1887"/>
    <w:rsid w:val="001D3D38"/>
    <w:rsid w:val="001E1E24"/>
    <w:rsid w:val="001F021D"/>
    <w:rsid w:val="001F09BA"/>
    <w:rsid w:val="001F1AC1"/>
    <w:rsid w:val="001F47F1"/>
    <w:rsid w:val="001F581E"/>
    <w:rsid w:val="00201378"/>
    <w:rsid w:val="002017DA"/>
    <w:rsid w:val="00210582"/>
    <w:rsid w:val="0021070A"/>
    <w:rsid w:val="00213DD4"/>
    <w:rsid w:val="00215ACF"/>
    <w:rsid w:val="00233C38"/>
    <w:rsid w:val="00236182"/>
    <w:rsid w:val="00241B7A"/>
    <w:rsid w:val="00246EA4"/>
    <w:rsid w:val="00254313"/>
    <w:rsid w:val="00254EC7"/>
    <w:rsid w:val="00257A29"/>
    <w:rsid w:val="00274DCA"/>
    <w:rsid w:val="00276BB4"/>
    <w:rsid w:val="002777EB"/>
    <w:rsid w:val="002820CC"/>
    <w:rsid w:val="00291F8F"/>
    <w:rsid w:val="00295C4D"/>
    <w:rsid w:val="002B1DFE"/>
    <w:rsid w:val="002B23AD"/>
    <w:rsid w:val="002B3CC5"/>
    <w:rsid w:val="002B7275"/>
    <w:rsid w:val="002B7F7B"/>
    <w:rsid w:val="002C10CA"/>
    <w:rsid w:val="002C1139"/>
    <w:rsid w:val="002C5CAC"/>
    <w:rsid w:val="002D361E"/>
    <w:rsid w:val="002D798A"/>
    <w:rsid w:val="002E59AF"/>
    <w:rsid w:val="002E6541"/>
    <w:rsid w:val="00315582"/>
    <w:rsid w:val="00316925"/>
    <w:rsid w:val="00317CCC"/>
    <w:rsid w:val="003234FF"/>
    <w:rsid w:val="003237FF"/>
    <w:rsid w:val="00327D86"/>
    <w:rsid w:val="0033229E"/>
    <w:rsid w:val="0033274A"/>
    <w:rsid w:val="00344200"/>
    <w:rsid w:val="00351111"/>
    <w:rsid w:val="00352573"/>
    <w:rsid w:val="00353D98"/>
    <w:rsid w:val="00362B39"/>
    <w:rsid w:val="003715F1"/>
    <w:rsid w:val="00371D67"/>
    <w:rsid w:val="003828F1"/>
    <w:rsid w:val="00382CE2"/>
    <w:rsid w:val="0038477A"/>
    <w:rsid w:val="0038714E"/>
    <w:rsid w:val="00390D92"/>
    <w:rsid w:val="00393739"/>
    <w:rsid w:val="003A0656"/>
    <w:rsid w:val="003A39D3"/>
    <w:rsid w:val="003B1546"/>
    <w:rsid w:val="003C2811"/>
    <w:rsid w:val="003C7789"/>
    <w:rsid w:val="003D0075"/>
    <w:rsid w:val="003D2162"/>
    <w:rsid w:val="003D5242"/>
    <w:rsid w:val="003D5E88"/>
    <w:rsid w:val="003E3F7F"/>
    <w:rsid w:val="003E76BA"/>
    <w:rsid w:val="003F0261"/>
    <w:rsid w:val="003F0C67"/>
    <w:rsid w:val="003F5B17"/>
    <w:rsid w:val="004029E5"/>
    <w:rsid w:val="00403C91"/>
    <w:rsid w:val="00404938"/>
    <w:rsid w:val="004109C4"/>
    <w:rsid w:val="00420ECC"/>
    <w:rsid w:val="00424A70"/>
    <w:rsid w:val="00431EBD"/>
    <w:rsid w:val="00434939"/>
    <w:rsid w:val="00435CD5"/>
    <w:rsid w:val="004365E9"/>
    <w:rsid w:val="004444AD"/>
    <w:rsid w:val="00444827"/>
    <w:rsid w:val="00445927"/>
    <w:rsid w:val="00447555"/>
    <w:rsid w:val="0044783D"/>
    <w:rsid w:val="00447E14"/>
    <w:rsid w:val="00461406"/>
    <w:rsid w:val="00464474"/>
    <w:rsid w:val="00470135"/>
    <w:rsid w:val="00474646"/>
    <w:rsid w:val="0047551A"/>
    <w:rsid w:val="00477D94"/>
    <w:rsid w:val="00486744"/>
    <w:rsid w:val="004A106E"/>
    <w:rsid w:val="004A1B77"/>
    <w:rsid w:val="004A7AAF"/>
    <w:rsid w:val="004B2ED9"/>
    <w:rsid w:val="004B3002"/>
    <w:rsid w:val="004B3592"/>
    <w:rsid w:val="004B6573"/>
    <w:rsid w:val="004D03A4"/>
    <w:rsid w:val="004D2BEF"/>
    <w:rsid w:val="004D6417"/>
    <w:rsid w:val="004F3307"/>
    <w:rsid w:val="00503B9C"/>
    <w:rsid w:val="00504083"/>
    <w:rsid w:val="005076B8"/>
    <w:rsid w:val="0051224D"/>
    <w:rsid w:val="00513FFC"/>
    <w:rsid w:val="00523452"/>
    <w:rsid w:val="00525220"/>
    <w:rsid w:val="00526238"/>
    <w:rsid w:val="00526DED"/>
    <w:rsid w:val="00531942"/>
    <w:rsid w:val="00541428"/>
    <w:rsid w:val="0054762D"/>
    <w:rsid w:val="00553A13"/>
    <w:rsid w:val="005556D5"/>
    <w:rsid w:val="00555871"/>
    <w:rsid w:val="00567282"/>
    <w:rsid w:val="00570EEB"/>
    <w:rsid w:val="005728A0"/>
    <w:rsid w:val="00577C91"/>
    <w:rsid w:val="00577DCC"/>
    <w:rsid w:val="005843C6"/>
    <w:rsid w:val="005A53BA"/>
    <w:rsid w:val="005A54FE"/>
    <w:rsid w:val="005A5F96"/>
    <w:rsid w:val="005B5280"/>
    <w:rsid w:val="005B740F"/>
    <w:rsid w:val="005B7E5B"/>
    <w:rsid w:val="005C0A3B"/>
    <w:rsid w:val="005C20BF"/>
    <w:rsid w:val="005C6C93"/>
    <w:rsid w:val="005C7D8C"/>
    <w:rsid w:val="005D0CB2"/>
    <w:rsid w:val="005E2945"/>
    <w:rsid w:val="005E2988"/>
    <w:rsid w:val="005E44C4"/>
    <w:rsid w:val="005E4F3F"/>
    <w:rsid w:val="005F3981"/>
    <w:rsid w:val="005F5862"/>
    <w:rsid w:val="005F676F"/>
    <w:rsid w:val="00600320"/>
    <w:rsid w:val="006077E4"/>
    <w:rsid w:val="00607B28"/>
    <w:rsid w:val="0061313D"/>
    <w:rsid w:val="0061395E"/>
    <w:rsid w:val="006165F8"/>
    <w:rsid w:val="00621D14"/>
    <w:rsid w:val="00624A68"/>
    <w:rsid w:val="00630474"/>
    <w:rsid w:val="006549CB"/>
    <w:rsid w:val="00670A96"/>
    <w:rsid w:val="00687080"/>
    <w:rsid w:val="006A225B"/>
    <w:rsid w:val="006A53B2"/>
    <w:rsid w:val="006B53F3"/>
    <w:rsid w:val="006C01D7"/>
    <w:rsid w:val="006C0D22"/>
    <w:rsid w:val="006C4CF8"/>
    <w:rsid w:val="006C7F29"/>
    <w:rsid w:val="006D2C27"/>
    <w:rsid w:val="006D3FB3"/>
    <w:rsid w:val="006E4BED"/>
    <w:rsid w:val="006F1CA6"/>
    <w:rsid w:val="006F23BD"/>
    <w:rsid w:val="006F4482"/>
    <w:rsid w:val="00702DAE"/>
    <w:rsid w:val="00703240"/>
    <w:rsid w:val="00705B0B"/>
    <w:rsid w:val="0070614E"/>
    <w:rsid w:val="00720DA5"/>
    <w:rsid w:val="007231FF"/>
    <w:rsid w:val="007262BA"/>
    <w:rsid w:val="00726BD5"/>
    <w:rsid w:val="00726E9D"/>
    <w:rsid w:val="00733D83"/>
    <w:rsid w:val="007424F5"/>
    <w:rsid w:val="007450FA"/>
    <w:rsid w:val="0074544F"/>
    <w:rsid w:val="007544FE"/>
    <w:rsid w:val="0075562D"/>
    <w:rsid w:val="0075584C"/>
    <w:rsid w:val="00761659"/>
    <w:rsid w:val="00766771"/>
    <w:rsid w:val="00771A4F"/>
    <w:rsid w:val="00772A80"/>
    <w:rsid w:val="00773C84"/>
    <w:rsid w:val="00774C87"/>
    <w:rsid w:val="00775091"/>
    <w:rsid w:val="007829C8"/>
    <w:rsid w:val="0078682B"/>
    <w:rsid w:val="007A4256"/>
    <w:rsid w:val="007B1E3E"/>
    <w:rsid w:val="007B2D07"/>
    <w:rsid w:val="007B5ADF"/>
    <w:rsid w:val="007B642B"/>
    <w:rsid w:val="007C00D1"/>
    <w:rsid w:val="007C0F8C"/>
    <w:rsid w:val="007C54D7"/>
    <w:rsid w:val="007D04CB"/>
    <w:rsid w:val="007D0CC8"/>
    <w:rsid w:val="007D1725"/>
    <w:rsid w:val="007D2912"/>
    <w:rsid w:val="007D7821"/>
    <w:rsid w:val="007E0AD3"/>
    <w:rsid w:val="007E0E5E"/>
    <w:rsid w:val="007E4FFC"/>
    <w:rsid w:val="007F2F4C"/>
    <w:rsid w:val="007F333B"/>
    <w:rsid w:val="007F502C"/>
    <w:rsid w:val="007F694C"/>
    <w:rsid w:val="007F6B67"/>
    <w:rsid w:val="00804331"/>
    <w:rsid w:val="00807455"/>
    <w:rsid w:val="00813532"/>
    <w:rsid w:val="00822E0D"/>
    <w:rsid w:val="0083243A"/>
    <w:rsid w:val="00836D65"/>
    <w:rsid w:val="0083744C"/>
    <w:rsid w:val="008405A6"/>
    <w:rsid w:val="008424E3"/>
    <w:rsid w:val="008461FB"/>
    <w:rsid w:val="008561F4"/>
    <w:rsid w:val="00862C05"/>
    <w:rsid w:val="0087084D"/>
    <w:rsid w:val="00870C53"/>
    <w:rsid w:val="008757FA"/>
    <w:rsid w:val="0087788F"/>
    <w:rsid w:val="00881CA9"/>
    <w:rsid w:val="00882EAC"/>
    <w:rsid w:val="008840F8"/>
    <w:rsid w:val="00896197"/>
    <w:rsid w:val="008A42FA"/>
    <w:rsid w:val="008A6084"/>
    <w:rsid w:val="008B1D18"/>
    <w:rsid w:val="008C2652"/>
    <w:rsid w:val="008C4856"/>
    <w:rsid w:val="008D3094"/>
    <w:rsid w:val="008F07BB"/>
    <w:rsid w:val="009013BE"/>
    <w:rsid w:val="009069FF"/>
    <w:rsid w:val="00906DEB"/>
    <w:rsid w:val="00912EC3"/>
    <w:rsid w:val="00913106"/>
    <w:rsid w:val="00915A58"/>
    <w:rsid w:val="00916F1F"/>
    <w:rsid w:val="00922D56"/>
    <w:rsid w:val="009266A4"/>
    <w:rsid w:val="00926C5C"/>
    <w:rsid w:val="00930434"/>
    <w:rsid w:val="00931051"/>
    <w:rsid w:val="009328B0"/>
    <w:rsid w:val="00936832"/>
    <w:rsid w:val="00942EA5"/>
    <w:rsid w:val="00951C34"/>
    <w:rsid w:val="00954D7F"/>
    <w:rsid w:val="0096384C"/>
    <w:rsid w:val="00972981"/>
    <w:rsid w:val="00977E4E"/>
    <w:rsid w:val="00981081"/>
    <w:rsid w:val="009848CB"/>
    <w:rsid w:val="00986625"/>
    <w:rsid w:val="00991268"/>
    <w:rsid w:val="0099356A"/>
    <w:rsid w:val="00995299"/>
    <w:rsid w:val="009A021D"/>
    <w:rsid w:val="009A183E"/>
    <w:rsid w:val="009C05EA"/>
    <w:rsid w:val="009C33D9"/>
    <w:rsid w:val="009D0747"/>
    <w:rsid w:val="009D6819"/>
    <w:rsid w:val="009E08F3"/>
    <w:rsid w:val="009E2401"/>
    <w:rsid w:val="009E4515"/>
    <w:rsid w:val="009F1500"/>
    <w:rsid w:val="009F48DE"/>
    <w:rsid w:val="009F6384"/>
    <w:rsid w:val="00A018AA"/>
    <w:rsid w:val="00A0674D"/>
    <w:rsid w:val="00A11567"/>
    <w:rsid w:val="00A12916"/>
    <w:rsid w:val="00A14E65"/>
    <w:rsid w:val="00A15D46"/>
    <w:rsid w:val="00A172FB"/>
    <w:rsid w:val="00A17704"/>
    <w:rsid w:val="00A2163E"/>
    <w:rsid w:val="00A23539"/>
    <w:rsid w:val="00A2374E"/>
    <w:rsid w:val="00A259CD"/>
    <w:rsid w:val="00A4023D"/>
    <w:rsid w:val="00A42655"/>
    <w:rsid w:val="00A525C8"/>
    <w:rsid w:val="00A5739A"/>
    <w:rsid w:val="00A63762"/>
    <w:rsid w:val="00A7045B"/>
    <w:rsid w:val="00A73E15"/>
    <w:rsid w:val="00A945CF"/>
    <w:rsid w:val="00A966A5"/>
    <w:rsid w:val="00A97673"/>
    <w:rsid w:val="00AA1A78"/>
    <w:rsid w:val="00AA789E"/>
    <w:rsid w:val="00AB47C9"/>
    <w:rsid w:val="00AC1764"/>
    <w:rsid w:val="00AC1918"/>
    <w:rsid w:val="00AC7403"/>
    <w:rsid w:val="00AE05B2"/>
    <w:rsid w:val="00AE1395"/>
    <w:rsid w:val="00AE25B7"/>
    <w:rsid w:val="00AE4D5C"/>
    <w:rsid w:val="00AE5513"/>
    <w:rsid w:val="00AF01BE"/>
    <w:rsid w:val="00AF5CFD"/>
    <w:rsid w:val="00AF616C"/>
    <w:rsid w:val="00AF7183"/>
    <w:rsid w:val="00B0059B"/>
    <w:rsid w:val="00B0178D"/>
    <w:rsid w:val="00B01D8C"/>
    <w:rsid w:val="00B067CB"/>
    <w:rsid w:val="00B11397"/>
    <w:rsid w:val="00B13E69"/>
    <w:rsid w:val="00B17EE9"/>
    <w:rsid w:val="00B20417"/>
    <w:rsid w:val="00B25863"/>
    <w:rsid w:val="00B2668F"/>
    <w:rsid w:val="00B34479"/>
    <w:rsid w:val="00B34481"/>
    <w:rsid w:val="00B34987"/>
    <w:rsid w:val="00B36FBA"/>
    <w:rsid w:val="00B40541"/>
    <w:rsid w:val="00B40D03"/>
    <w:rsid w:val="00B417F4"/>
    <w:rsid w:val="00B46653"/>
    <w:rsid w:val="00B61B95"/>
    <w:rsid w:val="00B64927"/>
    <w:rsid w:val="00B66A10"/>
    <w:rsid w:val="00B81758"/>
    <w:rsid w:val="00B83797"/>
    <w:rsid w:val="00B838A8"/>
    <w:rsid w:val="00B859AE"/>
    <w:rsid w:val="00B91C17"/>
    <w:rsid w:val="00B9559F"/>
    <w:rsid w:val="00B9573C"/>
    <w:rsid w:val="00B960F1"/>
    <w:rsid w:val="00B96B36"/>
    <w:rsid w:val="00BA21BD"/>
    <w:rsid w:val="00BA4167"/>
    <w:rsid w:val="00BA73A8"/>
    <w:rsid w:val="00BB255B"/>
    <w:rsid w:val="00BB3D78"/>
    <w:rsid w:val="00BC1FE8"/>
    <w:rsid w:val="00BC44D1"/>
    <w:rsid w:val="00BD1924"/>
    <w:rsid w:val="00BD511E"/>
    <w:rsid w:val="00BE09A9"/>
    <w:rsid w:val="00BE19EB"/>
    <w:rsid w:val="00BE5FB4"/>
    <w:rsid w:val="00BE6A86"/>
    <w:rsid w:val="00BF49A1"/>
    <w:rsid w:val="00BF547E"/>
    <w:rsid w:val="00BF71DA"/>
    <w:rsid w:val="00C027F5"/>
    <w:rsid w:val="00C06D43"/>
    <w:rsid w:val="00C12D9C"/>
    <w:rsid w:val="00C1445B"/>
    <w:rsid w:val="00C16F98"/>
    <w:rsid w:val="00C21886"/>
    <w:rsid w:val="00C238FA"/>
    <w:rsid w:val="00C3129B"/>
    <w:rsid w:val="00C32566"/>
    <w:rsid w:val="00C33ACA"/>
    <w:rsid w:val="00C40026"/>
    <w:rsid w:val="00C431C1"/>
    <w:rsid w:val="00C43E2D"/>
    <w:rsid w:val="00C441C0"/>
    <w:rsid w:val="00C441E4"/>
    <w:rsid w:val="00C57457"/>
    <w:rsid w:val="00C64441"/>
    <w:rsid w:val="00C664F8"/>
    <w:rsid w:val="00C81729"/>
    <w:rsid w:val="00C87880"/>
    <w:rsid w:val="00C92394"/>
    <w:rsid w:val="00C9363D"/>
    <w:rsid w:val="00C953B4"/>
    <w:rsid w:val="00C96B91"/>
    <w:rsid w:val="00CA1292"/>
    <w:rsid w:val="00CA6080"/>
    <w:rsid w:val="00CA6232"/>
    <w:rsid w:val="00CB14C9"/>
    <w:rsid w:val="00CB2C25"/>
    <w:rsid w:val="00CB4CD8"/>
    <w:rsid w:val="00CB4D54"/>
    <w:rsid w:val="00CD0070"/>
    <w:rsid w:val="00CD23B6"/>
    <w:rsid w:val="00CD5442"/>
    <w:rsid w:val="00CD6DCA"/>
    <w:rsid w:val="00CE204A"/>
    <w:rsid w:val="00CE2C51"/>
    <w:rsid w:val="00D03919"/>
    <w:rsid w:val="00D05661"/>
    <w:rsid w:val="00D06175"/>
    <w:rsid w:val="00D063E6"/>
    <w:rsid w:val="00D11DF7"/>
    <w:rsid w:val="00D23930"/>
    <w:rsid w:val="00D47C2F"/>
    <w:rsid w:val="00D51D73"/>
    <w:rsid w:val="00D521A5"/>
    <w:rsid w:val="00D52530"/>
    <w:rsid w:val="00D555F5"/>
    <w:rsid w:val="00D55BB4"/>
    <w:rsid w:val="00D56D92"/>
    <w:rsid w:val="00D57CCB"/>
    <w:rsid w:val="00D633F9"/>
    <w:rsid w:val="00D70A3F"/>
    <w:rsid w:val="00D71760"/>
    <w:rsid w:val="00D71A7E"/>
    <w:rsid w:val="00D75926"/>
    <w:rsid w:val="00D83709"/>
    <w:rsid w:val="00D917CF"/>
    <w:rsid w:val="00D91901"/>
    <w:rsid w:val="00D97EEB"/>
    <w:rsid w:val="00DA40B0"/>
    <w:rsid w:val="00DB761E"/>
    <w:rsid w:val="00DC7256"/>
    <w:rsid w:val="00DD6F74"/>
    <w:rsid w:val="00DE22D3"/>
    <w:rsid w:val="00DE372D"/>
    <w:rsid w:val="00DF003E"/>
    <w:rsid w:val="00DF1ECA"/>
    <w:rsid w:val="00DF39AD"/>
    <w:rsid w:val="00E226CA"/>
    <w:rsid w:val="00E26F00"/>
    <w:rsid w:val="00E45266"/>
    <w:rsid w:val="00E45672"/>
    <w:rsid w:val="00E542FF"/>
    <w:rsid w:val="00E56EF6"/>
    <w:rsid w:val="00E5754B"/>
    <w:rsid w:val="00E62671"/>
    <w:rsid w:val="00E6594D"/>
    <w:rsid w:val="00E66438"/>
    <w:rsid w:val="00E7011E"/>
    <w:rsid w:val="00E75CBB"/>
    <w:rsid w:val="00E77210"/>
    <w:rsid w:val="00E8294A"/>
    <w:rsid w:val="00E859AF"/>
    <w:rsid w:val="00E92835"/>
    <w:rsid w:val="00EA34A8"/>
    <w:rsid w:val="00EA5031"/>
    <w:rsid w:val="00EA68C0"/>
    <w:rsid w:val="00EA7092"/>
    <w:rsid w:val="00EB1C4F"/>
    <w:rsid w:val="00EB6464"/>
    <w:rsid w:val="00EB6FF2"/>
    <w:rsid w:val="00ED0232"/>
    <w:rsid w:val="00ED06DD"/>
    <w:rsid w:val="00ED301D"/>
    <w:rsid w:val="00ED7481"/>
    <w:rsid w:val="00EE01B3"/>
    <w:rsid w:val="00EF270D"/>
    <w:rsid w:val="00EF759F"/>
    <w:rsid w:val="00F01204"/>
    <w:rsid w:val="00F01F23"/>
    <w:rsid w:val="00F0406B"/>
    <w:rsid w:val="00F129E5"/>
    <w:rsid w:val="00F15C68"/>
    <w:rsid w:val="00F17099"/>
    <w:rsid w:val="00F321C4"/>
    <w:rsid w:val="00F35BB3"/>
    <w:rsid w:val="00F377B8"/>
    <w:rsid w:val="00F41F74"/>
    <w:rsid w:val="00F43FE6"/>
    <w:rsid w:val="00F4586E"/>
    <w:rsid w:val="00F532CF"/>
    <w:rsid w:val="00F53BF2"/>
    <w:rsid w:val="00F54D26"/>
    <w:rsid w:val="00F60DC8"/>
    <w:rsid w:val="00F709E4"/>
    <w:rsid w:val="00F80903"/>
    <w:rsid w:val="00F9516C"/>
    <w:rsid w:val="00FA1CDB"/>
    <w:rsid w:val="00FA6407"/>
    <w:rsid w:val="00FA6FAA"/>
    <w:rsid w:val="00FB3A33"/>
    <w:rsid w:val="00FC638C"/>
    <w:rsid w:val="00FD2DE6"/>
    <w:rsid w:val="00FD37F0"/>
    <w:rsid w:val="00FD3EAB"/>
    <w:rsid w:val="00FD7686"/>
    <w:rsid w:val="00FE68FE"/>
    <w:rsid w:val="00FE7BC9"/>
    <w:rsid w:val="00FF66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DE5A8"/>
  <w15:docId w15:val="{2FBDAD9E-9D03-4EBE-B409-838CD5B9A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nivia Pro Book" w:eastAsia="Univia Pro Book" w:hAnsi="Univia Pro Book" w:cs="Univia Pro Book"/>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jc w:val="center"/>
      <w:outlineLvl w:val="0"/>
    </w:pPr>
    <w:rPr>
      <w:rFonts w:ascii="Open Sans" w:eastAsia="Open Sans" w:hAnsi="Open Sans" w:cs="Open Sans"/>
      <w:b/>
      <w:sz w:val="36"/>
      <w:szCs w:val="36"/>
    </w:rPr>
  </w:style>
  <w:style w:type="paragraph" w:styleId="Ttulo2">
    <w:name w:val="heading 2"/>
    <w:basedOn w:val="Normal"/>
    <w:next w:val="Normal"/>
    <w:pPr>
      <w:keepNext/>
      <w:spacing w:line="360" w:lineRule="auto"/>
      <w:jc w:val="both"/>
      <w:outlineLvl w:val="1"/>
    </w:pPr>
    <w:rPr>
      <w:rFonts w:ascii="Arial" w:eastAsia="Arial" w:hAnsi="Arial" w:cs="Arial"/>
    </w:rPr>
  </w:style>
  <w:style w:type="paragraph" w:styleId="Ttulo3">
    <w:name w:val="heading 3"/>
    <w:basedOn w:val="Normal"/>
    <w:next w:val="Normal"/>
    <w:pPr>
      <w:keepNext/>
      <w:outlineLvl w:val="2"/>
    </w:pPr>
    <w:rPr>
      <w:rFonts w:ascii="Arial" w:eastAsia="Arial" w:hAnsi="Arial" w:cs="Arial"/>
      <w:b/>
      <w:sz w:val="28"/>
      <w:szCs w:val="28"/>
    </w:rPr>
  </w:style>
  <w:style w:type="paragraph" w:styleId="Ttulo4">
    <w:name w:val="heading 4"/>
    <w:basedOn w:val="Normal"/>
    <w:next w:val="Normal"/>
    <w:pPr>
      <w:keepNext/>
      <w:jc w:val="center"/>
      <w:outlineLvl w:val="3"/>
    </w:pPr>
    <w:rPr>
      <w:rFonts w:ascii="Arial" w:eastAsia="Arial" w:hAnsi="Arial" w:cs="Arial"/>
      <w:b/>
      <w:sz w:val="20"/>
      <w:szCs w:val="20"/>
    </w:rPr>
  </w:style>
  <w:style w:type="paragraph" w:styleId="Ttulo5">
    <w:name w:val="heading 5"/>
    <w:basedOn w:val="Normal"/>
    <w:next w:val="Normal"/>
    <w:pPr>
      <w:keepNext/>
      <w:outlineLvl w:val="4"/>
    </w:pPr>
    <w:rPr>
      <w:rFonts w:ascii="Times New Roman" w:eastAsia="Times New Roman" w:hAnsi="Times New Roman" w:cs="Times New Roman"/>
      <w:b/>
      <w:sz w:val="20"/>
      <w:szCs w:val="20"/>
    </w:rPr>
  </w:style>
  <w:style w:type="paragraph" w:styleId="Ttulo6">
    <w:name w:val="heading 6"/>
    <w:basedOn w:val="Normal"/>
    <w:next w:val="Normal"/>
    <w:pPr>
      <w:keepNext/>
      <w:jc w:val="center"/>
      <w:outlineLvl w:val="5"/>
    </w:pPr>
    <w:rPr>
      <w:rFonts w:ascii="Arial" w:eastAsia="Arial" w:hAnsi="Arial" w:cs="Arial"/>
      <w:b/>
      <w:sz w:val="22"/>
      <w:szCs w:val="22"/>
    </w:rPr>
  </w:style>
  <w:style w:type="paragraph" w:styleId="Ttulo7">
    <w:name w:val="heading 7"/>
    <w:basedOn w:val="Normal"/>
    <w:next w:val="Normal"/>
    <w:link w:val="Ttulo7Car"/>
    <w:uiPriority w:val="9"/>
    <w:unhideWhenUsed/>
    <w:qFormat/>
    <w:rsid w:val="008840F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jc w:val="center"/>
    </w:pPr>
    <w:rPr>
      <w:rFonts w:ascii="Tahoma" w:eastAsia="Tahoma" w:hAnsi="Tahoma" w:cs="Tahoma"/>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left w:w="70" w:type="dxa"/>
        <w:right w:w="70" w:type="dxa"/>
      </w:tblCellMar>
    </w:tblPr>
  </w:style>
  <w:style w:type="table" w:customStyle="1" w:styleId="19">
    <w:name w:val="19"/>
    <w:basedOn w:val="TableNormal"/>
    <w:tblPr>
      <w:tblStyleRowBandSize w:val="1"/>
      <w:tblStyleColBandSize w:val="1"/>
      <w:tblCellMar>
        <w:left w:w="70" w:type="dxa"/>
        <w:right w:w="70" w:type="dxa"/>
      </w:tblCellMar>
    </w:tblPr>
  </w:style>
  <w:style w:type="table" w:customStyle="1" w:styleId="18">
    <w:name w:val="18"/>
    <w:basedOn w:val="TableNormal"/>
    <w:tblPr>
      <w:tblStyleRowBandSize w:val="1"/>
      <w:tblStyleColBandSize w:val="1"/>
      <w:tblCellMar>
        <w:left w:w="70" w:type="dxa"/>
        <w:right w:w="70" w:type="dxa"/>
      </w:tblCellMar>
    </w:tblPr>
  </w:style>
  <w:style w:type="table" w:customStyle="1" w:styleId="17">
    <w:name w:val="17"/>
    <w:basedOn w:val="TableNormal"/>
    <w:tblPr>
      <w:tblStyleRowBandSize w:val="1"/>
      <w:tblStyleColBandSize w:val="1"/>
      <w:tblCellMar>
        <w:left w:w="70" w:type="dxa"/>
        <w:right w:w="70" w:type="dxa"/>
      </w:tblCellMar>
    </w:tblPr>
  </w:style>
  <w:style w:type="table" w:customStyle="1" w:styleId="16">
    <w:name w:val="16"/>
    <w:basedOn w:val="TableNormal"/>
    <w:tblPr>
      <w:tblStyleRowBandSize w:val="1"/>
      <w:tblStyleColBandSize w:val="1"/>
      <w:tblCellMar>
        <w:left w:w="70" w:type="dxa"/>
        <w:right w:w="70" w:type="dxa"/>
      </w:tblCellMar>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tblPr>
      <w:tblStyleRowBandSize w:val="1"/>
      <w:tblStyleColBandSize w:val="1"/>
      <w:tblCellMar>
        <w:left w:w="70" w:type="dxa"/>
        <w:right w:w="70" w:type="dxa"/>
      </w:tblCellMar>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rPr>
      <w:rFonts w:ascii="Arial" w:eastAsia="Arial" w:hAnsi="Arial" w:cs="Arial"/>
      <w:color w:val="000000"/>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53D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D98"/>
    <w:rPr>
      <w:rFonts w:ascii="Tahoma" w:hAnsi="Tahoma" w:cs="Tahoma"/>
      <w:sz w:val="16"/>
      <w:szCs w:val="16"/>
    </w:rPr>
  </w:style>
  <w:style w:type="paragraph" w:styleId="Encabezado">
    <w:name w:val="header"/>
    <w:basedOn w:val="Normal"/>
    <w:link w:val="EncabezadoCar"/>
    <w:uiPriority w:val="99"/>
    <w:unhideWhenUsed/>
    <w:rsid w:val="00353D98"/>
    <w:pPr>
      <w:tabs>
        <w:tab w:val="center" w:pos="4419"/>
        <w:tab w:val="right" w:pos="8838"/>
      </w:tabs>
    </w:pPr>
  </w:style>
  <w:style w:type="character" w:customStyle="1" w:styleId="EncabezadoCar">
    <w:name w:val="Encabezado Car"/>
    <w:basedOn w:val="Fuentedeprrafopredeter"/>
    <w:link w:val="Encabezado"/>
    <w:uiPriority w:val="99"/>
    <w:rsid w:val="00353D98"/>
  </w:style>
  <w:style w:type="paragraph" w:styleId="Piedepgina">
    <w:name w:val="footer"/>
    <w:basedOn w:val="Normal"/>
    <w:link w:val="PiedepginaCar"/>
    <w:uiPriority w:val="99"/>
    <w:unhideWhenUsed/>
    <w:rsid w:val="00353D98"/>
    <w:pPr>
      <w:tabs>
        <w:tab w:val="center" w:pos="4419"/>
        <w:tab w:val="right" w:pos="8838"/>
      </w:tabs>
    </w:pPr>
  </w:style>
  <w:style w:type="character" w:customStyle="1" w:styleId="PiedepginaCar">
    <w:name w:val="Pie de página Car"/>
    <w:basedOn w:val="Fuentedeprrafopredeter"/>
    <w:link w:val="Piedepgina"/>
    <w:uiPriority w:val="99"/>
    <w:rsid w:val="00353D98"/>
  </w:style>
  <w:style w:type="paragraph" w:styleId="Sinespaciado">
    <w:name w:val="No Spacing"/>
    <w:uiPriority w:val="1"/>
    <w:qFormat/>
    <w:rsid w:val="00FD3EAB"/>
    <w:pPr>
      <w:suppressAutoHyphens/>
      <w:autoSpaceDN w:val="0"/>
      <w:textAlignment w:val="baseline"/>
    </w:pPr>
    <w:rPr>
      <w:rFonts w:ascii="Calibri" w:eastAsia="Calibri" w:hAnsi="Calibri" w:cs="Kartika"/>
      <w:sz w:val="22"/>
      <w:szCs w:val="22"/>
      <w:lang w:val="es-MX" w:eastAsia="en-US"/>
    </w:rPr>
  </w:style>
  <w:style w:type="paragraph" w:styleId="Prrafodelista">
    <w:name w:val="List Paragraph"/>
    <w:aliases w:val="Dot pt,No Spacing1,List Paragraph Char Char Char,Indicator Text,List Paragraph1,Numbered Para 1,viñetas,Bullet 1,Bullet Number,List Paragraph11,Listas,Use Case List Paragraph,lp1,lp11"/>
    <w:basedOn w:val="Normal"/>
    <w:link w:val="PrrafodelistaCar"/>
    <w:uiPriority w:val="34"/>
    <w:qFormat/>
    <w:rsid w:val="00FD3EAB"/>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Dot pt Car,No Spacing1 Car,List Paragraph Char Char Char Car,Indicator Text Car,List Paragraph1 Car,Numbered Para 1 Car,viñetas Car,Bullet 1 Car,Bullet Number Car,List Paragraph11 Car,Listas Car,Use Case List Paragraph Car,lp1 Car"/>
    <w:link w:val="Prrafodelista"/>
    <w:uiPriority w:val="34"/>
    <w:rsid w:val="00FD3EAB"/>
    <w:rPr>
      <w:rFonts w:asciiTheme="minorHAnsi" w:eastAsiaTheme="minorHAnsi" w:hAnsiTheme="minorHAnsi" w:cstheme="minorBidi"/>
      <w:sz w:val="22"/>
      <w:szCs w:val="22"/>
      <w:lang w:val="es-MX" w:eastAsia="en-US"/>
    </w:rPr>
  </w:style>
  <w:style w:type="table" w:styleId="Tablaconcuadrcula">
    <w:name w:val="Table Grid"/>
    <w:basedOn w:val="Tablanormal"/>
    <w:uiPriority w:val="39"/>
    <w:rsid w:val="00C23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4C87"/>
    <w:pPr>
      <w:widowControl w:val="0"/>
      <w:autoSpaceDE w:val="0"/>
      <w:autoSpaceDN w:val="0"/>
      <w:spacing w:line="122" w:lineRule="exact"/>
    </w:pPr>
    <w:rPr>
      <w:rFonts w:ascii="Arial MT" w:eastAsia="Arial MT" w:hAnsi="Arial MT" w:cs="Arial MT"/>
      <w:sz w:val="22"/>
      <w:szCs w:val="22"/>
      <w:lang w:eastAsia="en-US"/>
    </w:rPr>
  </w:style>
  <w:style w:type="character" w:customStyle="1" w:styleId="Ttulo7Car">
    <w:name w:val="Título 7 Car"/>
    <w:basedOn w:val="Fuentedeprrafopredeter"/>
    <w:link w:val="Ttulo7"/>
    <w:uiPriority w:val="9"/>
    <w:rsid w:val="008840F8"/>
    <w:rPr>
      <w:rFonts w:asciiTheme="majorHAnsi" w:eastAsiaTheme="majorEastAsia" w:hAnsiTheme="majorHAnsi" w:cstheme="majorBidi"/>
      <w:i/>
      <w:iCs/>
      <w:color w:val="404040" w:themeColor="text1" w:themeTint="BF"/>
    </w:rPr>
  </w:style>
  <w:style w:type="character" w:styleId="Hipervnculo">
    <w:name w:val="Hyperlink"/>
    <w:basedOn w:val="Fuentedeprrafopredeter"/>
    <w:uiPriority w:val="99"/>
    <w:unhideWhenUsed/>
    <w:rsid w:val="00771A4F"/>
    <w:rPr>
      <w:color w:val="0000FF"/>
      <w:u w:val="single"/>
    </w:rPr>
  </w:style>
  <w:style w:type="paragraph" w:styleId="NormalWeb">
    <w:name w:val="Normal (Web)"/>
    <w:basedOn w:val="Normal"/>
    <w:uiPriority w:val="99"/>
    <w:unhideWhenUsed/>
    <w:rsid w:val="00771A4F"/>
    <w:pPr>
      <w:spacing w:before="100" w:beforeAutospacing="1" w:after="100" w:afterAutospacing="1"/>
    </w:pPr>
    <w:rPr>
      <w:rFonts w:ascii="Times New Roman" w:eastAsia="Times New Roman" w:hAnsi="Times New Roman" w:cs="Times New Roman"/>
      <w:lang w:val="es-MX"/>
    </w:rPr>
  </w:style>
  <w:style w:type="paragraph" w:customStyle="1" w:styleId="Texto">
    <w:name w:val="Texto"/>
    <w:basedOn w:val="Normal"/>
    <w:link w:val="TextoCar"/>
    <w:qFormat/>
    <w:rsid w:val="00ED301D"/>
    <w:pPr>
      <w:spacing w:after="101" w:line="216" w:lineRule="exact"/>
      <w:ind w:firstLine="288"/>
      <w:jc w:val="both"/>
    </w:pPr>
    <w:rPr>
      <w:rFonts w:ascii="Arial" w:eastAsia="Times New Roman" w:hAnsi="Arial" w:cs="Arial"/>
      <w:sz w:val="18"/>
      <w:szCs w:val="20"/>
      <w:lang w:eastAsia="es-ES"/>
    </w:rPr>
  </w:style>
  <w:style w:type="paragraph" w:customStyle="1" w:styleId="ROMANOS">
    <w:name w:val="ROMANOS"/>
    <w:basedOn w:val="Normal"/>
    <w:link w:val="ROMANOSCar"/>
    <w:rsid w:val="00ED301D"/>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TextoCar">
    <w:name w:val="Texto Car"/>
    <w:link w:val="Texto"/>
    <w:locked/>
    <w:rsid w:val="00ED301D"/>
    <w:rPr>
      <w:rFonts w:ascii="Arial" w:eastAsia="Times New Roman" w:hAnsi="Arial" w:cs="Arial"/>
      <w:sz w:val="18"/>
      <w:szCs w:val="20"/>
      <w:lang w:eastAsia="es-ES"/>
    </w:rPr>
  </w:style>
  <w:style w:type="character" w:customStyle="1" w:styleId="ROMANOSCar">
    <w:name w:val="ROMANOS Car"/>
    <w:link w:val="ROMANOS"/>
    <w:locked/>
    <w:rsid w:val="00ED301D"/>
    <w:rPr>
      <w:rFonts w:ascii="Arial" w:eastAsia="Times New Roman" w:hAnsi="Arial" w:cs="Arial"/>
      <w:sz w:val="18"/>
      <w:szCs w:val="18"/>
      <w:lang w:eastAsia="es-ES"/>
    </w:rPr>
  </w:style>
  <w:style w:type="paragraph" w:customStyle="1" w:styleId="INCISO">
    <w:name w:val="INCISO"/>
    <w:basedOn w:val="Normal"/>
    <w:rsid w:val="007829C8"/>
    <w:pPr>
      <w:spacing w:after="101" w:line="216" w:lineRule="exact"/>
      <w:ind w:left="1080" w:hanging="360"/>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1"/>
    <w:qFormat/>
    <w:rsid w:val="008B1D18"/>
    <w:pPr>
      <w:widowControl w:val="0"/>
      <w:autoSpaceDE w:val="0"/>
      <w:autoSpaceDN w:val="0"/>
    </w:pPr>
    <w:rPr>
      <w:rFonts w:ascii="Arial MT" w:eastAsia="Arial MT" w:hAnsi="Arial MT" w:cs="Arial MT"/>
      <w:sz w:val="22"/>
      <w:szCs w:val="22"/>
      <w:lang w:eastAsia="en-US"/>
    </w:rPr>
  </w:style>
  <w:style w:type="character" w:customStyle="1" w:styleId="TextoindependienteCar">
    <w:name w:val="Texto independiente Car"/>
    <w:basedOn w:val="Fuentedeprrafopredeter"/>
    <w:link w:val="Textoindependiente"/>
    <w:uiPriority w:val="1"/>
    <w:rsid w:val="008B1D18"/>
    <w:rPr>
      <w:rFonts w:ascii="Arial MT" w:eastAsia="Arial MT" w:hAnsi="Arial MT" w:cs="Arial MT"/>
      <w:sz w:val="22"/>
      <w:szCs w:val="22"/>
      <w:lang w:eastAsia="en-US"/>
    </w:rPr>
  </w:style>
  <w:style w:type="character" w:styleId="Refdecomentario">
    <w:name w:val="annotation reference"/>
    <w:basedOn w:val="Fuentedeprrafopredeter"/>
    <w:uiPriority w:val="99"/>
    <w:semiHidden/>
    <w:unhideWhenUsed/>
    <w:rsid w:val="00EF759F"/>
    <w:rPr>
      <w:sz w:val="16"/>
      <w:szCs w:val="16"/>
    </w:rPr>
  </w:style>
  <w:style w:type="paragraph" w:styleId="Textocomentario">
    <w:name w:val="annotation text"/>
    <w:basedOn w:val="Normal"/>
    <w:link w:val="TextocomentarioCar"/>
    <w:uiPriority w:val="99"/>
    <w:semiHidden/>
    <w:unhideWhenUsed/>
    <w:rsid w:val="00EF759F"/>
    <w:rPr>
      <w:sz w:val="20"/>
      <w:szCs w:val="20"/>
    </w:rPr>
  </w:style>
  <w:style w:type="character" w:customStyle="1" w:styleId="TextocomentarioCar">
    <w:name w:val="Texto comentario Car"/>
    <w:basedOn w:val="Fuentedeprrafopredeter"/>
    <w:link w:val="Textocomentario"/>
    <w:uiPriority w:val="99"/>
    <w:semiHidden/>
    <w:rsid w:val="00EF759F"/>
    <w:rPr>
      <w:sz w:val="20"/>
      <w:szCs w:val="20"/>
    </w:rPr>
  </w:style>
  <w:style w:type="paragraph" w:styleId="Asuntodelcomentario">
    <w:name w:val="annotation subject"/>
    <w:basedOn w:val="Textocomentario"/>
    <w:next w:val="Textocomentario"/>
    <w:link w:val="AsuntodelcomentarioCar"/>
    <w:uiPriority w:val="99"/>
    <w:semiHidden/>
    <w:unhideWhenUsed/>
    <w:rsid w:val="00EF759F"/>
    <w:rPr>
      <w:b/>
      <w:bCs/>
    </w:rPr>
  </w:style>
  <w:style w:type="character" w:customStyle="1" w:styleId="AsuntodelcomentarioCar">
    <w:name w:val="Asunto del comentario Car"/>
    <w:basedOn w:val="TextocomentarioCar"/>
    <w:link w:val="Asuntodelcomentario"/>
    <w:uiPriority w:val="99"/>
    <w:semiHidden/>
    <w:rsid w:val="00EF759F"/>
    <w:rPr>
      <w:b/>
      <w:bCs/>
      <w:sz w:val="20"/>
      <w:szCs w:val="20"/>
    </w:rPr>
  </w:style>
  <w:style w:type="character" w:styleId="Mencinsinresolver">
    <w:name w:val="Unresolved Mention"/>
    <w:basedOn w:val="Fuentedeprrafopredeter"/>
    <w:uiPriority w:val="99"/>
    <w:semiHidden/>
    <w:unhideWhenUsed/>
    <w:rsid w:val="00140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985">
      <w:bodyDiv w:val="1"/>
      <w:marLeft w:val="0"/>
      <w:marRight w:val="0"/>
      <w:marTop w:val="0"/>
      <w:marBottom w:val="0"/>
      <w:divBdr>
        <w:top w:val="none" w:sz="0" w:space="0" w:color="auto"/>
        <w:left w:val="none" w:sz="0" w:space="0" w:color="auto"/>
        <w:bottom w:val="none" w:sz="0" w:space="0" w:color="auto"/>
        <w:right w:val="none" w:sz="0" w:space="0" w:color="auto"/>
      </w:divBdr>
    </w:div>
    <w:div w:id="5252246">
      <w:bodyDiv w:val="1"/>
      <w:marLeft w:val="0"/>
      <w:marRight w:val="0"/>
      <w:marTop w:val="0"/>
      <w:marBottom w:val="0"/>
      <w:divBdr>
        <w:top w:val="none" w:sz="0" w:space="0" w:color="auto"/>
        <w:left w:val="none" w:sz="0" w:space="0" w:color="auto"/>
        <w:bottom w:val="none" w:sz="0" w:space="0" w:color="auto"/>
        <w:right w:val="none" w:sz="0" w:space="0" w:color="auto"/>
      </w:divBdr>
    </w:div>
    <w:div w:id="26376144">
      <w:bodyDiv w:val="1"/>
      <w:marLeft w:val="0"/>
      <w:marRight w:val="0"/>
      <w:marTop w:val="0"/>
      <w:marBottom w:val="0"/>
      <w:divBdr>
        <w:top w:val="none" w:sz="0" w:space="0" w:color="auto"/>
        <w:left w:val="none" w:sz="0" w:space="0" w:color="auto"/>
        <w:bottom w:val="none" w:sz="0" w:space="0" w:color="auto"/>
        <w:right w:val="none" w:sz="0" w:space="0" w:color="auto"/>
      </w:divBdr>
    </w:div>
    <w:div w:id="39282940">
      <w:bodyDiv w:val="1"/>
      <w:marLeft w:val="0"/>
      <w:marRight w:val="0"/>
      <w:marTop w:val="0"/>
      <w:marBottom w:val="0"/>
      <w:divBdr>
        <w:top w:val="none" w:sz="0" w:space="0" w:color="auto"/>
        <w:left w:val="none" w:sz="0" w:space="0" w:color="auto"/>
        <w:bottom w:val="none" w:sz="0" w:space="0" w:color="auto"/>
        <w:right w:val="none" w:sz="0" w:space="0" w:color="auto"/>
      </w:divBdr>
    </w:div>
    <w:div w:id="40447325">
      <w:bodyDiv w:val="1"/>
      <w:marLeft w:val="0"/>
      <w:marRight w:val="0"/>
      <w:marTop w:val="0"/>
      <w:marBottom w:val="0"/>
      <w:divBdr>
        <w:top w:val="none" w:sz="0" w:space="0" w:color="auto"/>
        <w:left w:val="none" w:sz="0" w:space="0" w:color="auto"/>
        <w:bottom w:val="none" w:sz="0" w:space="0" w:color="auto"/>
        <w:right w:val="none" w:sz="0" w:space="0" w:color="auto"/>
      </w:divBdr>
    </w:div>
    <w:div w:id="40986763">
      <w:bodyDiv w:val="1"/>
      <w:marLeft w:val="0"/>
      <w:marRight w:val="0"/>
      <w:marTop w:val="0"/>
      <w:marBottom w:val="0"/>
      <w:divBdr>
        <w:top w:val="none" w:sz="0" w:space="0" w:color="auto"/>
        <w:left w:val="none" w:sz="0" w:space="0" w:color="auto"/>
        <w:bottom w:val="none" w:sz="0" w:space="0" w:color="auto"/>
        <w:right w:val="none" w:sz="0" w:space="0" w:color="auto"/>
      </w:divBdr>
    </w:div>
    <w:div w:id="50814876">
      <w:bodyDiv w:val="1"/>
      <w:marLeft w:val="0"/>
      <w:marRight w:val="0"/>
      <w:marTop w:val="0"/>
      <w:marBottom w:val="0"/>
      <w:divBdr>
        <w:top w:val="none" w:sz="0" w:space="0" w:color="auto"/>
        <w:left w:val="none" w:sz="0" w:space="0" w:color="auto"/>
        <w:bottom w:val="none" w:sz="0" w:space="0" w:color="auto"/>
        <w:right w:val="none" w:sz="0" w:space="0" w:color="auto"/>
      </w:divBdr>
    </w:div>
    <w:div w:id="52850538">
      <w:bodyDiv w:val="1"/>
      <w:marLeft w:val="0"/>
      <w:marRight w:val="0"/>
      <w:marTop w:val="0"/>
      <w:marBottom w:val="0"/>
      <w:divBdr>
        <w:top w:val="none" w:sz="0" w:space="0" w:color="auto"/>
        <w:left w:val="none" w:sz="0" w:space="0" w:color="auto"/>
        <w:bottom w:val="none" w:sz="0" w:space="0" w:color="auto"/>
        <w:right w:val="none" w:sz="0" w:space="0" w:color="auto"/>
      </w:divBdr>
    </w:div>
    <w:div w:id="60565909">
      <w:bodyDiv w:val="1"/>
      <w:marLeft w:val="0"/>
      <w:marRight w:val="0"/>
      <w:marTop w:val="0"/>
      <w:marBottom w:val="0"/>
      <w:divBdr>
        <w:top w:val="none" w:sz="0" w:space="0" w:color="auto"/>
        <w:left w:val="none" w:sz="0" w:space="0" w:color="auto"/>
        <w:bottom w:val="none" w:sz="0" w:space="0" w:color="auto"/>
        <w:right w:val="none" w:sz="0" w:space="0" w:color="auto"/>
      </w:divBdr>
    </w:div>
    <w:div w:id="61804462">
      <w:bodyDiv w:val="1"/>
      <w:marLeft w:val="0"/>
      <w:marRight w:val="0"/>
      <w:marTop w:val="0"/>
      <w:marBottom w:val="0"/>
      <w:divBdr>
        <w:top w:val="none" w:sz="0" w:space="0" w:color="auto"/>
        <w:left w:val="none" w:sz="0" w:space="0" w:color="auto"/>
        <w:bottom w:val="none" w:sz="0" w:space="0" w:color="auto"/>
        <w:right w:val="none" w:sz="0" w:space="0" w:color="auto"/>
      </w:divBdr>
    </w:div>
    <w:div w:id="93214021">
      <w:bodyDiv w:val="1"/>
      <w:marLeft w:val="0"/>
      <w:marRight w:val="0"/>
      <w:marTop w:val="0"/>
      <w:marBottom w:val="0"/>
      <w:divBdr>
        <w:top w:val="none" w:sz="0" w:space="0" w:color="auto"/>
        <w:left w:val="none" w:sz="0" w:space="0" w:color="auto"/>
        <w:bottom w:val="none" w:sz="0" w:space="0" w:color="auto"/>
        <w:right w:val="none" w:sz="0" w:space="0" w:color="auto"/>
      </w:divBdr>
    </w:div>
    <w:div w:id="99305936">
      <w:bodyDiv w:val="1"/>
      <w:marLeft w:val="0"/>
      <w:marRight w:val="0"/>
      <w:marTop w:val="0"/>
      <w:marBottom w:val="0"/>
      <w:divBdr>
        <w:top w:val="none" w:sz="0" w:space="0" w:color="auto"/>
        <w:left w:val="none" w:sz="0" w:space="0" w:color="auto"/>
        <w:bottom w:val="none" w:sz="0" w:space="0" w:color="auto"/>
        <w:right w:val="none" w:sz="0" w:space="0" w:color="auto"/>
      </w:divBdr>
    </w:div>
    <w:div w:id="109865138">
      <w:bodyDiv w:val="1"/>
      <w:marLeft w:val="0"/>
      <w:marRight w:val="0"/>
      <w:marTop w:val="0"/>
      <w:marBottom w:val="0"/>
      <w:divBdr>
        <w:top w:val="none" w:sz="0" w:space="0" w:color="auto"/>
        <w:left w:val="none" w:sz="0" w:space="0" w:color="auto"/>
        <w:bottom w:val="none" w:sz="0" w:space="0" w:color="auto"/>
        <w:right w:val="none" w:sz="0" w:space="0" w:color="auto"/>
      </w:divBdr>
    </w:div>
    <w:div w:id="132061690">
      <w:bodyDiv w:val="1"/>
      <w:marLeft w:val="0"/>
      <w:marRight w:val="0"/>
      <w:marTop w:val="0"/>
      <w:marBottom w:val="0"/>
      <w:divBdr>
        <w:top w:val="none" w:sz="0" w:space="0" w:color="auto"/>
        <w:left w:val="none" w:sz="0" w:space="0" w:color="auto"/>
        <w:bottom w:val="none" w:sz="0" w:space="0" w:color="auto"/>
        <w:right w:val="none" w:sz="0" w:space="0" w:color="auto"/>
      </w:divBdr>
    </w:div>
    <w:div w:id="147476727">
      <w:bodyDiv w:val="1"/>
      <w:marLeft w:val="0"/>
      <w:marRight w:val="0"/>
      <w:marTop w:val="0"/>
      <w:marBottom w:val="0"/>
      <w:divBdr>
        <w:top w:val="none" w:sz="0" w:space="0" w:color="auto"/>
        <w:left w:val="none" w:sz="0" w:space="0" w:color="auto"/>
        <w:bottom w:val="none" w:sz="0" w:space="0" w:color="auto"/>
        <w:right w:val="none" w:sz="0" w:space="0" w:color="auto"/>
      </w:divBdr>
    </w:div>
    <w:div w:id="152305777">
      <w:bodyDiv w:val="1"/>
      <w:marLeft w:val="0"/>
      <w:marRight w:val="0"/>
      <w:marTop w:val="0"/>
      <w:marBottom w:val="0"/>
      <w:divBdr>
        <w:top w:val="none" w:sz="0" w:space="0" w:color="auto"/>
        <w:left w:val="none" w:sz="0" w:space="0" w:color="auto"/>
        <w:bottom w:val="none" w:sz="0" w:space="0" w:color="auto"/>
        <w:right w:val="none" w:sz="0" w:space="0" w:color="auto"/>
      </w:divBdr>
    </w:div>
    <w:div w:id="154955710">
      <w:bodyDiv w:val="1"/>
      <w:marLeft w:val="0"/>
      <w:marRight w:val="0"/>
      <w:marTop w:val="0"/>
      <w:marBottom w:val="0"/>
      <w:divBdr>
        <w:top w:val="none" w:sz="0" w:space="0" w:color="auto"/>
        <w:left w:val="none" w:sz="0" w:space="0" w:color="auto"/>
        <w:bottom w:val="none" w:sz="0" w:space="0" w:color="auto"/>
        <w:right w:val="none" w:sz="0" w:space="0" w:color="auto"/>
      </w:divBdr>
    </w:div>
    <w:div w:id="154999400">
      <w:bodyDiv w:val="1"/>
      <w:marLeft w:val="0"/>
      <w:marRight w:val="0"/>
      <w:marTop w:val="0"/>
      <w:marBottom w:val="0"/>
      <w:divBdr>
        <w:top w:val="none" w:sz="0" w:space="0" w:color="auto"/>
        <w:left w:val="none" w:sz="0" w:space="0" w:color="auto"/>
        <w:bottom w:val="none" w:sz="0" w:space="0" w:color="auto"/>
        <w:right w:val="none" w:sz="0" w:space="0" w:color="auto"/>
      </w:divBdr>
    </w:div>
    <w:div w:id="169222644">
      <w:bodyDiv w:val="1"/>
      <w:marLeft w:val="0"/>
      <w:marRight w:val="0"/>
      <w:marTop w:val="0"/>
      <w:marBottom w:val="0"/>
      <w:divBdr>
        <w:top w:val="none" w:sz="0" w:space="0" w:color="auto"/>
        <w:left w:val="none" w:sz="0" w:space="0" w:color="auto"/>
        <w:bottom w:val="none" w:sz="0" w:space="0" w:color="auto"/>
        <w:right w:val="none" w:sz="0" w:space="0" w:color="auto"/>
      </w:divBdr>
    </w:div>
    <w:div w:id="169756975">
      <w:bodyDiv w:val="1"/>
      <w:marLeft w:val="0"/>
      <w:marRight w:val="0"/>
      <w:marTop w:val="0"/>
      <w:marBottom w:val="0"/>
      <w:divBdr>
        <w:top w:val="none" w:sz="0" w:space="0" w:color="auto"/>
        <w:left w:val="none" w:sz="0" w:space="0" w:color="auto"/>
        <w:bottom w:val="none" w:sz="0" w:space="0" w:color="auto"/>
        <w:right w:val="none" w:sz="0" w:space="0" w:color="auto"/>
      </w:divBdr>
    </w:div>
    <w:div w:id="170334597">
      <w:bodyDiv w:val="1"/>
      <w:marLeft w:val="0"/>
      <w:marRight w:val="0"/>
      <w:marTop w:val="0"/>
      <w:marBottom w:val="0"/>
      <w:divBdr>
        <w:top w:val="none" w:sz="0" w:space="0" w:color="auto"/>
        <w:left w:val="none" w:sz="0" w:space="0" w:color="auto"/>
        <w:bottom w:val="none" w:sz="0" w:space="0" w:color="auto"/>
        <w:right w:val="none" w:sz="0" w:space="0" w:color="auto"/>
      </w:divBdr>
    </w:div>
    <w:div w:id="171921376">
      <w:bodyDiv w:val="1"/>
      <w:marLeft w:val="0"/>
      <w:marRight w:val="0"/>
      <w:marTop w:val="0"/>
      <w:marBottom w:val="0"/>
      <w:divBdr>
        <w:top w:val="none" w:sz="0" w:space="0" w:color="auto"/>
        <w:left w:val="none" w:sz="0" w:space="0" w:color="auto"/>
        <w:bottom w:val="none" w:sz="0" w:space="0" w:color="auto"/>
        <w:right w:val="none" w:sz="0" w:space="0" w:color="auto"/>
      </w:divBdr>
    </w:div>
    <w:div w:id="178127065">
      <w:bodyDiv w:val="1"/>
      <w:marLeft w:val="0"/>
      <w:marRight w:val="0"/>
      <w:marTop w:val="0"/>
      <w:marBottom w:val="0"/>
      <w:divBdr>
        <w:top w:val="none" w:sz="0" w:space="0" w:color="auto"/>
        <w:left w:val="none" w:sz="0" w:space="0" w:color="auto"/>
        <w:bottom w:val="none" w:sz="0" w:space="0" w:color="auto"/>
        <w:right w:val="none" w:sz="0" w:space="0" w:color="auto"/>
      </w:divBdr>
    </w:div>
    <w:div w:id="178589693">
      <w:bodyDiv w:val="1"/>
      <w:marLeft w:val="0"/>
      <w:marRight w:val="0"/>
      <w:marTop w:val="0"/>
      <w:marBottom w:val="0"/>
      <w:divBdr>
        <w:top w:val="none" w:sz="0" w:space="0" w:color="auto"/>
        <w:left w:val="none" w:sz="0" w:space="0" w:color="auto"/>
        <w:bottom w:val="none" w:sz="0" w:space="0" w:color="auto"/>
        <w:right w:val="none" w:sz="0" w:space="0" w:color="auto"/>
      </w:divBdr>
    </w:div>
    <w:div w:id="201481392">
      <w:bodyDiv w:val="1"/>
      <w:marLeft w:val="0"/>
      <w:marRight w:val="0"/>
      <w:marTop w:val="0"/>
      <w:marBottom w:val="0"/>
      <w:divBdr>
        <w:top w:val="none" w:sz="0" w:space="0" w:color="auto"/>
        <w:left w:val="none" w:sz="0" w:space="0" w:color="auto"/>
        <w:bottom w:val="none" w:sz="0" w:space="0" w:color="auto"/>
        <w:right w:val="none" w:sz="0" w:space="0" w:color="auto"/>
      </w:divBdr>
    </w:div>
    <w:div w:id="206648031">
      <w:bodyDiv w:val="1"/>
      <w:marLeft w:val="0"/>
      <w:marRight w:val="0"/>
      <w:marTop w:val="0"/>
      <w:marBottom w:val="0"/>
      <w:divBdr>
        <w:top w:val="none" w:sz="0" w:space="0" w:color="auto"/>
        <w:left w:val="none" w:sz="0" w:space="0" w:color="auto"/>
        <w:bottom w:val="none" w:sz="0" w:space="0" w:color="auto"/>
        <w:right w:val="none" w:sz="0" w:space="0" w:color="auto"/>
      </w:divBdr>
    </w:div>
    <w:div w:id="208998337">
      <w:bodyDiv w:val="1"/>
      <w:marLeft w:val="0"/>
      <w:marRight w:val="0"/>
      <w:marTop w:val="0"/>
      <w:marBottom w:val="0"/>
      <w:divBdr>
        <w:top w:val="none" w:sz="0" w:space="0" w:color="auto"/>
        <w:left w:val="none" w:sz="0" w:space="0" w:color="auto"/>
        <w:bottom w:val="none" w:sz="0" w:space="0" w:color="auto"/>
        <w:right w:val="none" w:sz="0" w:space="0" w:color="auto"/>
      </w:divBdr>
    </w:div>
    <w:div w:id="224414901">
      <w:bodyDiv w:val="1"/>
      <w:marLeft w:val="0"/>
      <w:marRight w:val="0"/>
      <w:marTop w:val="0"/>
      <w:marBottom w:val="0"/>
      <w:divBdr>
        <w:top w:val="none" w:sz="0" w:space="0" w:color="auto"/>
        <w:left w:val="none" w:sz="0" w:space="0" w:color="auto"/>
        <w:bottom w:val="none" w:sz="0" w:space="0" w:color="auto"/>
        <w:right w:val="none" w:sz="0" w:space="0" w:color="auto"/>
      </w:divBdr>
    </w:div>
    <w:div w:id="227344827">
      <w:bodyDiv w:val="1"/>
      <w:marLeft w:val="0"/>
      <w:marRight w:val="0"/>
      <w:marTop w:val="0"/>
      <w:marBottom w:val="0"/>
      <w:divBdr>
        <w:top w:val="none" w:sz="0" w:space="0" w:color="auto"/>
        <w:left w:val="none" w:sz="0" w:space="0" w:color="auto"/>
        <w:bottom w:val="none" w:sz="0" w:space="0" w:color="auto"/>
        <w:right w:val="none" w:sz="0" w:space="0" w:color="auto"/>
      </w:divBdr>
    </w:div>
    <w:div w:id="259460354">
      <w:bodyDiv w:val="1"/>
      <w:marLeft w:val="0"/>
      <w:marRight w:val="0"/>
      <w:marTop w:val="0"/>
      <w:marBottom w:val="0"/>
      <w:divBdr>
        <w:top w:val="none" w:sz="0" w:space="0" w:color="auto"/>
        <w:left w:val="none" w:sz="0" w:space="0" w:color="auto"/>
        <w:bottom w:val="none" w:sz="0" w:space="0" w:color="auto"/>
        <w:right w:val="none" w:sz="0" w:space="0" w:color="auto"/>
      </w:divBdr>
    </w:div>
    <w:div w:id="269899583">
      <w:bodyDiv w:val="1"/>
      <w:marLeft w:val="0"/>
      <w:marRight w:val="0"/>
      <w:marTop w:val="0"/>
      <w:marBottom w:val="0"/>
      <w:divBdr>
        <w:top w:val="none" w:sz="0" w:space="0" w:color="auto"/>
        <w:left w:val="none" w:sz="0" w:space="0" w:color="auto"/>
        <w:bottom w:val="none" w:sz="0" w:space="0" w:color="auto"/>
        <w:right w:val="none" w:sz="0" w:space="0" w:color="auto"/>
      </w:divBdr>
    </w:div>
    <w:div w:id="276067189">
      <w:bodyDiv w:val="1"/>
      <w:marLeft w:val="0"/>
      <w:marRight w:val="0"/>
      <w:marTop w:val="0"/>
      <w:marBottom w:val="0"/>
      <w:divBdr>
        <w:top w:val="none" w:sz="0" w:space="0" w:color="auto"/>
        <w:left w:val="none" w:sz="0" w:space="0" w:color="auto"/>
        <w:bottom w:val="none" w:sz="0" w:space="0" w:color="auto"/>
        <w:right w:val="none" w:sz="0" w:space="0" w:color="auto"/>
      </w:divBdr>
    </w:div>
    <w:div w:id="285434329">
      <w:bodyDiv w:val="1"/>
      <w:marLeft w:val="0"/>
      <w:marRight w:val="0"/>
      <w:marTop w:val="0"/>
      <w:marBottom w:val="0"/>
      <w:divBdr>
        <w:top w:val="none" w:sz="0" w:space="0" w:color="auto"/>
        <w:left w:val="none" w:sz="0" w:space="0" w:color="auto"/>
        <w:bottom w:val="none" w:sz="0" w:space="0" w:color="auto"/>
        <w:right w:val="none" w:sz="0" w:space="0" w:color="auto"/>
      </w:divBdr>
    </w:div>
    <w:div w:id="319044478">
      <w:bodyDiv w:val="1"/>
      <w:marLeft w:val="0"/>
      <w:marRight w:val="0"/>
      <w:marTop w:val="0"/>
      <w:marBottom w:val="0"/>
      <w:divBdr>
        <w:top w:val="none" w:sz="0" w:space="0" w:color="auto"/>
        <w:left w:val="none" w:sz="0" w:space="0" w:color="auto"/>
        <w:bottom w:val="none" w:sz="0" w:space="0" w:color="auto"/>
        <w:right w:val="none" w:sz="0" w:space="0" w:color="auto"/>
      </w:divBdr>
    </w:div>
    <w:div w:id="319114315">
      <w:bodyDiv w:val="1"/>
      <w:marLeft w:val="0"/>
      <w:marRight w:val="0"/>
      <w:marTop w:val="0"/>
      <w:marBottom w:val="0"/>
      <w:divBdr>
        <w:top w:val="none" w:sz="0" w:space="0" w:color="auto"/>
        <w:left w:val="none" w:sz="0" w:space="0" w:color="auto"/>
        <w:bottom w:val="none" w:sz="0" w:space="0" w:color="auto"/>
        <w:right w:val="none" w:sz="0" w:space="0" w:color="auto"/>
      </w:divBdr>
    </w:div>
    <w:div w:id="337973582">
      <w:bodyDiv w:val="1"/>
      <w:marLeft w:val="0"/>
      <w:marRight w:val="0"/>
      <w:marTop w:val="0"/>
      <w:marBottom w:val="0"/>
      <w:divBdr>
        <w:top w:val="none" w:sz="0" w:space="0" w:color="auto"/>
        <w:left w:val="none" w:sz="0" w:space="0" w:color="auto"/>
        <w:bottom w:val="none" w:sz="0" w:space="0" w:color="auto"/>
        <w:right w:val="none" w:sz="0" w:space="0" w:color="auto"/>
      </w:divBdr>
    </w:div>
    <w:div w:id="347490844">
      <w:bodyDiv w:val="1"/>
      <w:marLeft w:val="0"/>
      <w:marRight w:val="0"/>
      <w:marTop w:val="0"/>
      <w:marBottom w:val="0"/>
      <w:divBdr>
        <w:top w:val="none" w:sz="0" w:space="0" w:color="auto"/>
        <w:left w:val="none" w:sz="0" w:space="0" w:color="auto"/>
        <w:bottom w:val="none" w:sz="0" w:space="0" w:color="auto"/>
        <w:right w:val="none" w:sz="0" w:space="0" w:color="auto"/>
      </w:divBdr>
    </w:div>
    <w:div w:id="350684821">
      <w:bodyDiv w:val="1"/>
      <w:marLeft w:val="0"/>
      <w:marRight w:val="0"/>
      <w:marTop w:val="0"/>
      <w:marBottom w:val="0"/>
      <w:divBdr>
        <w:top w:val="none" w:sz="0" w:space="0" w:color="auto"/>
        <w:left w:val="none" w:sz="0" w:space="0" w:color="auto"/>
        <w:bottom w:val="none" w:sz="0" w:space="0" w:color="auto"/>
        <w:right w:val="none" w:sz="0" w:space="0" w:color="auto"/>
      </w:divBdr>
    </w:div>
    <w:div w:id="352852545">
      <w:bodyDiv w:val="1"/>
      <w:marLeft w:val="0"/>
      <w:marRight w:val="0"/>
      <w:marTop w:val="0"/>
      <w:marBottom w:val="0"/>
      <w:divBdr>
        <w:top w:val="none" w:sz="0" w:space="0" w:color="auto"/>
        <w:left w:val="none" w:sz="0" w:space="0" w:color="auto"/>
        <w:bottom w:val="none" w:sz="0" w:space="0" w:color="auto"/>
        <w:right w:val="none" w:sz="0" w:space="0" w:color="auto"/>
      </w:divBdr>
    </w:div>
    <w:div w:id="360324475">
      <w:bodyDiv w:val="1"/>
      <w:marLeft w:val="0"/>
      <w:marRight w:val="0"/>
      <w:marTop w:val="0"/>
      <w:marBottom w:val="0"/>
      <w:divBdr>
        <w:top w:val="none" w:sz="0" w:space="0" w:color="auto"/>
        <w:left w:val="none" w:sz="0" w:space="0" w:color="auto"/>
        <w:bottom w:val="none" w:sz="0" w:space="0" w:color="auto"/>
        <w:right w:val="none" w:sz="0" w:space="0" w:color="auto"/>
      </w:divBdr>
    </w:div>
    <w:div w:id="373699412">
      <w:bodyDiv w:val="1"/>
      <w:marLeft w:val="0"/>
      <w:marRight w:val="0"/>
      <w:marTop w:val="0"/>
      <w:marBottom w:val="0"/>
      <w:divBdr>
        <w:top w:val="none" w:sz="0" w:space="0" w:color="auto"/>
        <w:left w:val="none" w:sz="0" w:space="0" w:color="auto"/>
        <w:bottom w:val="none" w:sz="0" w:space="0" w:color="auto"/>
        <w:right w:val="none" w:sz="0" w:space="0" w:color="auto"/>
      </w:divBdr>
    </w:div>
    <w:div w:id="395394761">
      <w:bodyDiv w:val="1"/>
      <w:marLeft w:val="0"/>
      <w:marRight w:val="0"/>
      <w:marTop w:val="0"/>
      <w:marBottom w:val="0"/>
      <w:divBdr>
        <w:top w:val="none" w:sz="0" w:space="0" w:color="auto"/>
        <w:left w:val="none" w:sz="0" w:space="0" w:color="auto"/>
        <w:bottom w:val="none" w:sz="0" w:space="0" w:color="auto"/>
        <w:right w:val="none" w:sz="0" w:space="0" w:color="auto"/>
      </w:divBdr>
    </w:div>
    <w:div w:id="398140327">
      <w:bodyDiv w:val="1"/>
      <w:marLeft w:val="0"/>
      <w:marRight w:val="0"/>
      <w:marTop w:val="0"/>
      <w:marBottom w:val="0"/>
      <w:divBdr>
        <w:top w:val="none" w:sz="0" w:space="0" w:color="auto"/>
        <w:left w:val="none" w:sz="0" w:space="0" w:color="auto"/>
        <w:bottom w:val="none" w:sz="0" w:space="0" w:color="auto"/>
        <w:right w:val="none" w:sz="0" w:space="0" w:color="auto"/>
      </w:divBdr>
    </w:div>
    <w:div w:id="399719793">
      <w:bodyDiv w:val="1"/>
      <w:marLeft w:val="0"/>
      <w:marRight w:val="0"/>
      <w:marTop w:val="0"/>
      <w:marBottom w:val="0"/>
      <w:divBdr>
        <w:top w:val="none" w:sz="0" w:space="0" w:color="auto"/>
        <w:left w:val="none" w:sz="0" w:space="0" w:color="auto"/>
        <w:bottom w:val="none" w:sz="0" w:space="0" w:color="auto"/>
        <w:right w:val="none" w:sz="0" w:space="0" w:color="auto"/>
      </w:divBdr>
    </w:div>
    <w:div w:id="400834965">
      <w:bodyDiv w:val="1"/>
      <w:marLeft w:val="0"/>
      <w:marRight w:val="0"/>
      <w:marTop w:val="0"/>
      <w:marBottom w:val="0"/>
      <w:divBdr>
        <w:top w:val="none" w:sz="0" w:space="0" w:color="auto"/>
        <w:left w:val="none" w:sz="0" w:space="0" w:color="auto"/>
        <w:bottom w:val="none" w:sz="0" w:space="0" w:color="auto"/>
        <w:right w:val="none" w:sz="0" w:space="0" w:color="auto"/>
      </w:divBdr>
    </w:div>
    <w:div w:id="402069824">
      <w:bodyDiv w:val="1"/>
      <w:marLeft w:val="0"/>
      <w:marRight w:val="0"/>
      <w:marTop w:val="0"/>
      <w:marBottom w:val="0"/>
      <w:divBdr>
        <w:top w:val="none" w:sz="0" w:space="0" w:color="auto"/>
        <w:left w:val="none" w:sz="0" w:space="0" w:color="auto"/>
        <w:bottom w:val="none" w:sz="0" w:space="0" w:color="auto"/>
        <w:right w:val="none" w:sz="0" w:space="0" w:color="auto"/>
      </w:divBdr>
    </w:div>
    <w:div w:id="408582906">
      <w:bodyDiv w:val="1"/>
      <w:marLeft w:val="0"/>
      <w:marRight w:val="0"/>
      <w:marTop w:val="0"/>
      <w:marBottom w:val="0"/>
      <w:divBdr>
        <w:top w:val="none" w:sz="0" w:space="0" w:color="auto"/>
        <w:left w:val="none" w:sz="0" w:space="0" w:color="auto"/>
        <w:bottom w:val="none" w:sz="0" w:space="0" w:color="auto"/>
        <w:right w:val="none" w:sz="0" w:space="0" w:color="auto"/>
      </w:divBdr>
    </w:div>
    <w:div w:id="411321591">
      <w:bodyDiv w:val="1"/>
      <w:marLeft w:val="0"/>
      <w:marRight w:val="0"/>
      <w:marTop w:val="0"/>
      <w:marBottom w:val="0"/>
      <w:divBdr>
        <w:top w:val="none" w:sz="0" w:space="0" w:color="auto"/>
        <w:left w:val="none" w:sz="0" w:space="0" w:color="auto"/>
        <w:bottom w:val="none" w:sz="0" w:space="0" w:color="auto"/>
        <w:right w:val="none" w:sz="0" w:space="0" w:color="auto"/>
      </w:divBdr>
    </w:div>
    <w:div w:id="428625039">
      <w:bodyDiv w:val="1"/>
      <w:marLeft w:val="0"/>
      <w:marRight w:val="0"/>
      <w:marTop w:val="0"/>
      <w:marBottom w:val="0"/>
      <w:divBdr>
        <w:top w:val="none" w:sz="0" w:space="0" w:color="auto"/>
        <w:left w:val="none" w:sz="0" w:space="0" w:color="auto"/>
        <w:bottom w:val="none" w:sz="0" w:space="0" w:color="auto"/>
        <w:right w:val="none" w:sz="0" w:space="0" w:color="auto"/>
      </w:divBdr>
    </w:div>
    <w:div w:id="431821839">
      <w:bodyDiv w:val="1"/>
      <w:marLeft w:val="0"/>
      <w:marRight w:val="0"/>
      <w:marTop w:val="0"/>
      <w:marBottom w:val="0"/>
      <w:divBdr>
        <w:top w:val="none" w:sz="0" w:space="0" w:color="auto"/>
        <w:left w:val="none" w:sz="0" w:space="0" w:color="auto"/>
        <w:bottom w:val="none" w:sz="0" w:space="0" w:color="auto"/>
        <w:right w:val="none" w:sz="0" w:space="0" w:color="auto"/>
      </w:divBdr>
    </w:div>
    <w:div w:id="438529907">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0636647">
      <w:bodyDiv w:val="1"/>
      <w:marLeft w:val="0"/>
      <w:marRight w:val="0"/>
      <w:marTop w:val="0"/>
      <w:marBottom w:val="0"/>
      <w:divBdr>
        <w:top w:val="none" w:sz="0" w:space="0" w:color="auto"/>
        <w:left w:val="none" w:sz="0" w:space="0" w:color="auto"/>
        <w:bottom w:val="none" w:sz="0" w:space="0" w:color="auto"/>
        <w:right w:val="none" w:sz="0" w:space="0" w:color="auto"/>
      </w:divBdr>
    </w:div>
    <w:div w:id="451166363">
      <w:bodyDiv w:val="1"/>
      <w:marLeft w:val="0"/>
      <w:marRight w:val="0"/>
      <w:marTop w:val="0"/>
      <w:marBottom w:val="0"/>
      <w:divBdr>
        <w:top w:val="none" w:sz="0" w:space="0" w:color="auto"/>
        <w:left w:val="none" w:sz="0" w:space="0" w:color="auto"/>
        <w:bottom w:val="none" w:sz="0" w:space="0" w:color="auto"/>
        <w:right w:val="none" w:sz="0" w:space="0" w:color="auto"/>
      </w:divBdr>
    </w:div>
    <w:div w:id="461315691">
      <w:bodyDiv w:val="1"/>
      <w:marLeft w:val="0"/>
      <w:marRight w:val="0"/>
      <w:marTop w:val="0"/>
      <w:marBottom w:val="0"/>
      <w:divBdr>
        <w:top w:val="none" w:sz="0" w:space="0" w:color="auto"/>
        <w:left w:val="none" w:sz="0" w:space="0" w:color="auto"/>
        <w:bottom w:val="none" w:sz="0" w:space="0" w:color="auto"/>
        <w:right w:val="none" w:sz="0" w:space="0" w:color="auto"/>
      </w:divBdr>
    </w:div>
    <w:div w:id="482620736">
      <w:bodyDiv w:val="1"/>
      <w:marLeft w:val="0"/>
      <w:marRight w:val="0"/>
      <w:marTop w:val="0"/>
      <w:marBottom w:val="0"/>
      <w:divBdr>
        <w:top w:val="none" w:sz="0" w:space="0" w:color="auto"/>
        <w:left w:val="none" w:sz="0" w:space="0" w:color="auto"/>
        <w:bottom w:val="none" w:sz="0" w:space="0" w:color="auto"/>
        <w:right w:val="none" w:sz="0" w:space="0" w:color="auto"/>
      </w:divBdr>
    </w:div>
    <w:div w:id="505369546">
      <w:bodyDiv w:val="1"/>
      <w:marLeft w:val="0"/>
      <w:marRight w:val="0"/>
      <w:marTop w:val="0"/>
      <w:marBottom w:val="0"/>
      <w:divBdr>
        <w:top w:val="none" w:sz="0" w:space="0" w:color="auto"/>
        <w:left w:val="none" w:sz="0" w:space="0" w:color="auto"/>
        <w:bottom w:val="none" w:sz="0" w:space="0" w:color="auto"/>
        <w:right w:val="none" w:sz="0" w:space="0" w:color="auto"/>
      </w:divBdr>
    </w:div>
    <w:div w:id="535699638">
      <w:bodyDiv w:val="1"/>
      <w:marLeft w:val="0"/>
      <w:marRight w:val="0"/>
      <w:marTop w:val="0"/>
      <w:marBottom w:val="0"/>
      <w:divBdr>
        <w:top w:val="none" w:sz="0" w:space="0" w:color="auto"/>
        <w:left w:val="none" w:sz="0" w:space="0" w:color="auto"/>
        <w:bottom w:val="none" w:sz="0" w:space="0" w:color="auto"/>
        <w:right w:val="none" w:sz="0" w:space="0" w:color="auto"/>
      </w:divBdr>
    </w:div>
    <w:div w:id="548801284">
      <w:bodyDiv w:val="1"/>
      <w:marLeft w:val="0"/>
      <w:marRight w:val="0"/>
      <w:marTop w:val="0"/>
      <w:marBottom w:val="0"/>
      <w:divBdr>
        <w:top w:val="none" w:sz="0" w:space="0" w:color="auto"/>
        <w:left w:val="none" w:sz="0" w:space="0" w:color="auto"/>
        <w:bottom w:val="none" w:sz="0" w:space="0" w:color="auto"/>
        <w:right w:val="none" w:sz="0" w:space="0" w:color="auto"/>
      </w:divBdr>
    </w:div>
    <w:div w:id="562713066">
      <w:bodyDiv w:val="1"/>
      <w:marLeft w:val="0"/>
      <w:marRight w:val="0"/>
      <w:marTop w:val="0"/>
      <w:marBottom w:val="0"/>
      <w:divBdr>
        <w:top w:val="none" w:sz="0" w:space="0" w:color="auto"/>
        <w:left w:val="none" w:sz="0" w:space="0" w:color="auto"/>
        <w:bottom w:val="none" w:sz="0" w:space="0" w:color="auto"/>
        <w:right w:val="none" w:sz="0" w:space="0" w:color="auto"/>
      </w:divBdr>
    </w:div>
    <w:div w:id="567493977">
      <w:bodyDiv w:val="1"/>
      <w:marLeft w:val="0"/>
      <w:marRight w:val="0"/>
      <w:marTop w:val="0"/>
      <w:marBottom w:val="0"/>
      <w:divBdr>
        <w:top w:val="none" w:sz="0" w:space="0" w:color="auto"/>
        <w:left w:val="none" w:sz="0" w:space="0" w:color="auto"/>
        <w:bottom w:val="none" w:sz="0" w:space="0" w:color="auto"/>
        <w:right w:val="none" w:sz="0" w:space="0" w:color="auto"/>
      </w:divBdr>
    </w:div>
    <w:div w:id="570627098">
      <w:bodyDiv w:val="1"/>
      <w:marLeft w:val="0"/>
      <w:marRight w:val="0"/>
      <w:marTop w:val="0"/>
      <w:marBottom w:val="0"/>
      <w:divBdr>
        <w:top w:val="none" w:sz="0" w:space="0" w:color="auto"/>
        <w:left w:val="none" w:sz="0" w:space="0" w:color="auto"/>
        <w:bottom w:val="none" w:sz="0" w:space="0" w:color="auto"/>
        <w:right w:val="none" w:sz="0" w:space="0" w:color="auto"/>
      </w:divBdr>
    </w:div>
    <w:div w:id="573705270">
      <w:bodyDiv w:val="1"/>
      <w:marLeft w:val="0"/>
      <w:marRight w:val="0"/>
      <w:marTop w:val="0"/>
      <w:marBottom w:val="0"/>
      <w:divBdr>
        <w:top w:val="none" w:sz="0" w:space="0" w:color="auto"/>
        <w:left w:val="none" w:sz="0" w:space="0" w:color="auto"/>
        <w:bottom w:val="none" w:sz="0" w:space="0" w:color="auto"/>
        <w:right w:val="none" w:sz="0" w:space="0" w:color="auto"/>
      </w:divBdr>
    </w:div>
    <w:div w:id="580212569">
      <w:bodyDiv w:val="1"/>
      <w:marLeft w:val="0"/>
      <w:marRight w:val="0"/>
      <w:marTop w:val="0"/>
      <w:marBottom w:val="0"/>
      <w:divBdr>
        <w:top w:val="none" w:sz="0" w:space="0" w:color="auto"/>
        <w:left w:val="none" w:sz="0" w:space="0" w:color="auto"/>
        <w:bottom w:val="none" w:sz="0" w:space="0" w:color="auto"/>
        <w:right w:val="none" w:sz="0" w:space="0" w:color="auto"/>
      </w:divBdr>
    </w:div>
    <w:div w:id="588781288">
      <w:bodyDiv w:val="1"/>
      <w:marLeft w:val="0"/>
      <w:marRight w:val="0"/>
      <w:marTop w:val="0"/>
      <w:marBottom w:val="0"/>
      <w:divBdr>
        <w:top w:val="none" w:sz="0" w:space="0" w:color="auto"/>
        <w:left w:val="none" w:sz="0" w:space="0" w:color="auto"/>
        <w:bottom w:val="none" w:sz="0" w:space="0" w:color="auto"/>
        <w:right w:val="none" w:sz="0" w:space="0" w:color="auto"/>
      </w:divBdr>
    </w:div>
    <w:div w:id="599292129">
      <w:bodyDiv w:val="1"/>
      <w:marLeft w:val="0"/>
      <w:marRight w:val="0"/>
      <w:marTop w:val="0"/>
      <w:marBottom w:val="0"/>
      <w:divBdr>
        <w:top w:val="none" w:sz="0" w:space="0" w:color="auto"/>
        <w:left w:val="none" w:sz="0" w:space="0" w:color="auto"/>
        <w:bottom w:val="none" w:sz="0" w:space="0" w:color="auto"/>
        <w:right w:val="none" w:sz="0" w:space="0" w:color="auto"/>
      </w:divBdr>
    </w:div>
    <w:div w:id="632566299">
      <w:bodyDiv w:val="1"/>
      <w:marLeft w:val="0"/>
      <w:marRight w:val="0"/>
      <w:marTop w:val="0"/>
      <w:marBottom w:val="0"/>
      <w:divBdr>
        <w:top w:val="none" w:sz="0" w:space="0" w:color="auto"/>
        <w:left w:val="none" w:sz="0" w:space="0" w:color="auto"/>
        <w:bottom w:val="none" w:sz="0" w:space="0" w:color="auto"/>
        <w:right w:val="none" w:sz="0" w:space="0" w:color="auto"/>
      </w:divBdr>
    </w:div>
    <w:div w:id="651787055">
      <w:bodyDiv w:val="1"/>
      <w:marLeft w:val="0"/>
      <w:marRight w:val="0"/>
      <w:marTop w:val="0"/>
      <w:marBottom w:val="0"/>
      <w:divBdr>
        <w:top w:val="none" w:sz="0" w:space="0" w:color="auto"/>
        <w:left w:val="none" w:sz="0" w:space="0" w:color="auto"/>
        <w:bottom w:val="none" w:sz="0" w:space="0" w:color="auto"/>
        <w:right w:val="none" w:sz="0" w:space="0" w:color="auto"/>
      </w:divBdr>
    </w:div>
    <w:div w:id="676225740">
      <w:bodyDiv w:val="1"/>
      <w:marLeft w:val="0"/>
      <w:marRight w:val="0"/>
      <w:marTop w:val="0"/>
      <w:marBottom w:val="0"/>
      <w:divBdr>
        <w:top w:val="none" w:sz="0" w:space="0" w:color="auto"/>
        <w:left w:val="none" w:sz="0" w:space="0" w:color="auto"/>
        <w:bottom w:val="none" w:sz="0" w:space="0" w:color="auto"/>
        <w:right w:val="none" w:sz="0" w:space="0" w:color="auto"/>
      </w:divBdr>
    </w:div>
    <w:div w:id="688605077">
      <w:bodyDiv w:val="1"/>
      <w:marLeft w:val="0"/>
      <w:marRight w:val="0"/>
      <w:marTop w:val="0"/>
      <w:marBottom w:val="0"/>
      <w:divBdr>
        <w:top w:val="none" w:sz="0" w:space="0" w:color="auto"/>
        <w:left w:val="none" w:sz="0" w:space="0" w:color="auto"/>
        <w:bottom w:val="none" w:sz="0" w:space="0" w:color="auto"/>
        <w:right w:val="none" w:sz="0" w:space="0" w:color="auto"/>
      </w:divBdr>
    </w:div>
    <w:div w:id="695738894">
      <w:bodyDiv w:val="1"/>
      <w:marLeft w:val="0"/>
      <w:marRight w:val="0"/>
      <w:marTop w:val="0"/>
      <w:marBottom w:val="0"/>
      <w:divBdr>
        <w:top w:val="none" w:sz="0" w:space="0" w:color="auto"/>
        <w:left w:val="none" w:sz="0" w:space="0" w:color="auto"/>
        <w:bottom w:val="none" w:sz="0" w:space="0" w:color="auto"/>
        <w:right w:val="none" w:sz="0" w:space="0" w:color="auto"/>
      </w:divBdr>
    </w:div>
    <w:div w:id="700980830">
      <w:bodyDiv w:val="1"/>
      <w:marLeft w:val="0"/>
      <w:marRight w:val="0"/>
      <w:marTop w:val="0"/>
      <w:marBottom w:val="0"/>
      <w:divBdr>
        <w:top w:val="none" w:sz="0" w:space="0" w:color="auto"/>
        <w:left w:val="none" w:sz="0" w:space="0" w:color="auto"/>
        <w:bottom w:val="none" w:sz="0" w:space="0" w:color="auto"/>
        <w:right w:val="none" w:sz="0" w:space="0" w:color="auto"/>
      </w:divBdr>
    </w:div>
    <w:div w:id="702747438">
      <w:bodyDiv w:val="1"/>
      <w:marLeft w:val="0"/>
      <w:marRight w:val="0"/>
      <w:marTop w:val="0"/>
      <w:marBottom w:val="0"/>
      <w:divBdr>
        <w:top w:val="none" w:sz="0" w:space="0" w:color="auto"/>
        <w:left w:val="none" w:sz="0" w:space="0" w:color="auto"/>
        <w:bottom w:val="none" w:sz="0" w:space="0" w:color="auto"/>
        <w:right w:val="none" w:sz="0" w:space="0" w:color="auto"/>
      </w:divBdr>
    </w:div>
    <w:div w:id="763107504">
      <w:bodyDiv w:val="1"/>
      <w:marLeft w:val="0"/>
      <w:marRight w:val="0"/>
      <w:marTop w:val="0"/>
      <w:marBottom w:val="0"/>
      <w:divBdr>
        <w:top w:val="none" w:sz="0" w:space="0" w:color="auto"/>
        <w:left w:val="none" w:sz="0" w:space="0" w:color="auto"/>
        <w:bottom w:val="none" w:sz="0" w:space="0" w:color="auto"/>
        <w:right w:val="none" w:sz="0" w:space="0" w:color="auto"/>
      </w:divBdr>
    </w:div>
    <w:div w:id="777334361">
      <w:bodyDiv w:val="1"/>
      <w:marLeft w:val="0"/>
      <w:marRight w:val="0"/>
      <w:marTop w:val="0"/>
      <w:marBottom w:val="0"/>
      <w:divBdr>
        <w:top w:val="none" w:sz="0" w:space="0" w:color="auto"/>
        <w:left w:val="none" w:sz="0" w:space="0" w:color="auto"/>
        <w:bottom w:val="none" w:sz="0" w:space="0" w:color="auto"/>
        <w:right w:val="none" w:sz="0" w:space="0" w:color="auto"/>
      </w:divBdr>
    </w:div>
    <w:div w:id="787578201">
      <w:bodyDiv w:val="1"/>
      <w:marLeft w:val="0"/>
      <w:marRight w:val="0"/>
      <w:marTop w:val="0"/>
      <w:marBottom w:val="0"/>
      <w:divBdr>
        <w:top w:val="none" w:sz="0" w:space="0" w:color="auto"/>
        <w:left w:val="none" w:sz="0" w:space="0" w:color="auto"/>
        <w:bottom w:val="none" w:sz="0" w:space="0" w:color="auto"/>
        <w:right w:val="none" w:sz="0" w:space="0" w:color="auto"/>
      </w:divBdr>
    </w:div>
    <w:div w:id="790247683">
      <w:bodyDiv w:val="1"/>
      <w:marLeft w:val="0"/>
      <w:marRight w:val="0"/>
      <w:marTop w:val="0"/>
      <w:marBottom w:val="0"/>
      <w:divBdr>
        <w:top w:val="none" w:sz="0" w:space="0" w:color="auto"/>
        <w:left w:val="none" w:sz="0" w:space="0" w:color="auto"/>
        <w:bottom w:val="none" w:sz="0" w:space="0" w:color="auto"/>
        <w:right w:val="none" w:sz="0" w:space="0" w:color="auto"/>
      </w:divBdr>
    </w:div>
    <w:div w:id="798761256">
      <w:bodyDiv w:val="1"/>
      <w:marLeft w:val="0"/>
      <w:marRight w:val="0"/>
      <w:marTop w:val="0"/>
      <w:marBottom w:val="0"/>
      <w:divBdr>
        <w:top w:val="none" w:sz="0" w:space="0" w:color="auto"/>
        <w:left w:val="none" w:sz="0" w:space="0" w:color="auto"/>
        <w:bottom w:val="none" w:sz="0" w:space="0" w:color="auto"/>
        <w:right w:val="none" w:sz="0" w:space="0" w:color="auto"/>
      </w:divBdr>
    </w:div>
    <w:div w:id="814563790">
      <w:bodyDiv w:val="1"/>
      <w:marLeft w:val="0"/>
      <w:marRight w:val="0"/>
      <w:marTop w:val="0"/>
      <w:marBottom w:val="0"/>
      <w:divBdr>
        <w:top w:val="none" w:sz="0" w:space="0" w:color="auto"/>
        <w:left w:val="none" w:sz="0" w:space="0" w:color="auto"/>
        <w:bottom w:val="none" w:sz="0" w:space="0" w:color="auto"/>
        <w:right w:val="none" w:sz="0" w:space="0" w:color="auto"/>
      </w:divBdr>
    </w:div>
    <w:div w:id="817766322">
      <w:bodyDiv w:val="1"/>
      <w:marLeft w:val="0"/>
      <w:marRight w:val="0"/>
      <w:marTop w:val="0"/>
      <w:marBottom w:val="0"/>
      <w:divBdr>
        <w:top w:val="none" w:sz="0" w:space="0" w:color="auto"/>
        <w:left w:val="none" w:sz="0" w:space="0" w:color="auto"/>
        <w:bottom w:val="none" w:sz="0" w:space="0" w:color="auto"/>
        <w:right w:val="none" w:sz="0" w:space="0" w:color="auto"/>
      </w:divBdr>
    </w:div>
    <w:div w:id="819541360">
      <w:bodyDiv w:val="1"/>
      <w:marLeft w:val="0"/>
      <w:marRight w:val="0"/>
      <w:marTop w:val="0"/>
      <w:marBottom w:val="0"/>
      <w:divBdr>
        <w:top w:val="none" w:sz="0" w:space="0" w:color="auto"/>
        <w:left w:val="none" w:sz="0" w:space="0" w:color="auto"/>
        <w:bottom w:val="none" w:sz="0" w:space="0" w:color="auto"/>
        <w:right w:val="none" w:sz="0" w:space="0" w:color="auto"/>
      </w:divBdr>
    </w:div>
    <w:div w:id="825588064">
      <w:bodyDiv w:val="1"/>
      <w:marLeft w:val="0"/>
      <w:marRight w:val="0"/>
      <w:marTop w:val="0"/>
      <w:marBottom w:val="0"/>
      <w:divBdr>
        <w:top w:val="none" w:sz="0" w:space="0" w:color="auto"/>
        <w:left w:val="none" w:sz="0" w:space="0" w:color="auto"/>
        <w:bottom w:val="none" w:sz="0" w:space="0" w:color="auto"/>
        <w:right w:val="none" w:sz="0" w:space="0" w:color="auto"/>
      </w:divBdr>
    </w:div>
    <w:div w:id="826937584">
      <w:bodyDiv w:val="1"/>
      <w:marLeft w:val="0"/>
      <w:marRight w:val="0"/>
      <w:marTop w:val="0"/>
      <w:marBottom w:val="0"/>
      <w:divBdr>
        <w:top w:val="none" w:sz="0" w:space="0" w:color="auto"/>
        <w:left w:val="none" w:sz="0" w:space="0" w:color="auto"/>
        <w:bottom w:val="none" w:sz="0" w:space="0" w:color="auto"/>
        <w:right w:val="none" w:sz="0" w:space="0" w:color="auto"/>
      </w:divBdr>
    </w:div>
    <w:div w:id="834540397">
      <w:bodyDiv w:val="1"/>
      <w:marLeft w:val="0"/>
      <w:marRight w:val="0"/>
      <w:marTop w:val="0"/>
      <w:marBottom w:val="0"/>
      <w:divBdr>
        <w:top w:val="none" w:sz="0" w:space="0" w:color="auto"/>
        <w:left w:val="none" w:sz="0" w:space="0" w:color="auto"/>
        <w:bottom w:val="none" w:sz="0" w:space="0" w:color="auto"/>
        <w:right w:val="none" w:sz="0" w:space="0" w:color="auto"/>
      </w:divBdr>
    </w:div>
    <w:div w:id="835145224">
      <w:bodyDiv w:val="1"/>
      <w:marLeft w:val="0"/>
      <w:marRight w:val="0"/>
      <w:marTop w:val="0"/>
      <w:marBottom w:val="0"/>
      <w:divBdr>
        <w:top w:val="none" w:sz="0" w:space="0" w:color="auto"/>
        <w:left w:val="none" w:sz="0" w:space="0" w:color="auto"/>
        <w:bottom w:val="none" w:sz="0" w:space="0" w:color="auto"/>
        <w:right w:val="none" w:sz="0" w:space="0" w:color="auto"/>
      </w:divBdr>
    </w:div>
    <w:div w:id="837423546">
      <w:bodyDiv w:val="1"/>
      <w:marLeft w:val="0"/>
      <w:marRight w:val="0"/>
      <w:marTop w:val="0"/>
      <w:marBottom w:val="0"/>
      <w:divBdr>
        <w:top w:val="none" w:sz="0" w:space="0" w:color="auto"/>
        <w:left w:val="none" w:sz="0" w:space="0" w:color="auto"/>
        <w:bottom w:val="none" w:sz="0" w:space="0" w:color="auto"/>
        <w:right w:val="none" w:sz="0" w:space="0" w:color="auto"/>
      </w:divBdr>
    </w:div>
    <w:div w:id="859467334">
      <w:bodyDiv w:val="1"/>
      <w:marLeft w:val="0"/>
      <w:marRight w:val="0"/>
      <w:marTop w:val="0"/>
      <w:marBottom w:val="0"/>
      <w:divBdr>
        <w:top w:val="none" w:sz="0" w:space="0" w:color="auto"/>
        <w:left w:val="none" w:sz="0" w:space="0" w:color="auto"/>
        <w:bottom w:val="none" w:sz="0" w:space="0" w:color="auto"/>
        <w:right w:val="none" w:sz="0" w:space="0" w:color="auto"/>
      </w:divBdr>
    </w:div>
    <w:div w:id="872158497">
      <w:bodyDiv w:val="1"/>
      <w:marLeft w:val="0"/>
      <w:marRight w:val="0"/>
      <w:marTop w:val="0"/>
      <w:marBottom w:val="0"/>
      <w:divBdr>
        <w:top w:val="none" w:sz="0" w:space="0" w:color="auto"/>
        <w:left w:val="none" w:sz="0" w:space="0" w:color="auto"/>
        <w:bottom w:val="none" w:sz="0" w:space="0" w:color="auto"/>
        <w:right w:val="none" w:sz="0" w:space="0" w:color="auto"/>
      </w:divBdr>
    </w:div>
    <w:div w:id="879896126">
      <w:bodyDiv w:val="1"/>
      <w:marLeft w:val="0"/>
      <w:marRight w:val="0"/>
      <w:marTop w:val="0"/>
      <w:marBottom w:val="0"/>
      <w:divBdr>
        <w:top w:val="none" w:sz="0" w:space="0" w:color="auto"/>
        <w:left w:val="none" w:sz="0" w:space="0" w:color="auto"/>
        <w:bottom w:val="none" w:sz="0" w:space="0" w:color="auto"/>
        <w:right w:val="none" w:sz="0" w:space="0" w:color="auto"/>
      </w:divBdr>
    </w:div>
    <w:div w:id="901602987">
      <w:bodyDiv w:val="1"/>
      <w:marLeft w:val="0"/>
      <w:marRight w:val="0"/>
      <w:marTop w:val="0"/>
      <w:marBottom w:val="0"/>
      <w:divBdr>
        <w:top w:val="none" w:sz="0" w:space="0" w:color="auto"/>
        <w:left w:val="none" w:sz="0" w:space="0" w:color="auto"/>
        <w:bottom w:val="none" w:sz="0" w:space="0" w:color="auto"/>
        <w:right w:val="none" w:sz="0" w:space="0" w:color="auto"/>
      </w:divBdr>
    </w:div>
    <w:div w:id="911089162">
      <w:bodyDiv w:val="1"/>
      <w:marLeft w:val="0"/>
      <w:marRight w:val="0"/>
      <w:marTop w:val="0"/>
      <w:marBottom w:val="0"/>
      <w:divBdr>
        <w:top w:val="none" w:sz="0" w:space="0" w:color="auto"/>
        <w:left w:val="none" w:sz="0" w:space="0" w:color="auto"/>
        <w:bottom w:val="none" w:sz="0" w:space="0" w:color="auto"/>
        <w:right w:val="none" w:sz="0" w:space="0" w:color="auto"/>
      </w:divBdr>
    </w:div>
    <w:div w:id="913658771">
      <w:bodyDiv w:val="1"/>
      <w:marLeft w:val="0"/>
      <w:marRight w:val="0"/>
      <w:marTop w:val="0"/>
      <w:marBottom w:val="0"/>
      <w:divBdr>
        <w:top w:val="none" w:sz="0" w:space="0" w:color="auto"/>
        <w:left w:val="none" w:sz="0" w:space="0" w:color="auto"/>
        <w:bottom w:val="none" w:sz="0" w:space="0" w:color="auto"/>
        <w:right w:val="none" w:sz="0" w:space="0" w:color="auto"/>
      </w:divBdr>
    </w:div>
    <w:div w:id="924803050">
      <w:bodyDiv w:val="1"/>
      <w:marLeft w:val="0"/>
      <w:marRight w:val="0"/>
      <w:marTop w:val="0"/>
      <w:marBottom w:val="0"/>
      <w:divBdr>
        <w:top w:val="none" w:sz="0" w:space="0" w:color="auto"/>
        <w:left w:val="none" w:sz="0" w:space="0" w:color="auto"/>
        <w:bottom w:val="none" w:sz="0" w:space="0" w:color="auto"/>
        <w:right w:val="none" w:sz="0" w:space="0" w:color="auto"/>
      </w:divBdr>
    </w:div>
    <w:div w:id="926109816">
      <w:bodyDiv w:val="1"/>
      <w:marLeft w:val="0"/>
      <w:marRight w:val="0"/>
      <w:marTop w:val="0"/>
      <w:marBottom w:val="0"/>
      <w:divBdr>
        <w:top w:val="none" w:sz="0" w:space="0" w:color="auto"/>
        <w:left w:val="none" w:sz="0" w:space="0" w:color="auto"/>
        <w:bottom w:val="none" w:sz="0" w:space="0" w:color="auto"/>
        <w:right w:val="none" w:sz="0" w:space="0" w:color="auto"/>
      </w:divBdr>
    </w:div>
    <w:div w:id="930432380">
      <w:bodyDiv w:val="1"/>
      <w:marLeft w:val="0"/>
      <w:marRight w:val="0"/>
      <w:marTop w:val="0"/>
      <w:marBottom w:val="0"/>
      <w:divBdr>
        <w:top w:val="none" w:sz="0" w:space="0" w:color="auto"/>
        <w:left w:val="none" w:sz="0" w:space="0" w:color="auto"/>
        <w:bottom w:val="none" w:sz="0" w:space="0" w:color="auto"/>
        <w:right w:val="none" w:sz="0" w:space="0" w:color="auto"/>
      </w:divBdr>
    </w:div>
    <w:div w:id="949775003">
      <w:bodyDiv w:val="1"/>
      <w:marLeft w:val="0"/>
      <w:marRight w:val="0"/>
      <w:marTop w:val="0"/>
      <w:marBottom w:val="0"/>
      <w:divBdr>
        <w:top w:val="none" w:sz="0" w:space="0" w:color="auto"/>
        <w:left w:val="none" w:sz="0" w:space="0" w:color="auto"/>
        <w:bottom w:val="none" w:sz="0" w:space="0" w:color="auto"/>
        <w:right w:val="none" w:sz="0" w:space="0" w:color="auto"/>
      </w:divBdr>
    </w:div>
    <w:div w:id="954947189">
      <w:bodyDiv w:val="1"/>
      <w:marLeft w:val="0"/>
      <w:marRight w:val="0"/>
      <w:marTop w:val="0"/>
      <w:marBottom w:val="0"/>
      <w:divBdr>
        <w:top w:val="none" w:sz="0" w:space="0" w:color="auto"/>
        <w:left w:val="none" w:sz="0" w:space="0" w:color="auto"/>
        <w:bottom w:val="none" w:sz="0" w:space="0" w:color="auto"/>
        <w:right w:val="none" w:sz="0" w:space="0" w:color="auto"/>
      </w:divBdr>
    </w:div>
    <w:div w:id="970670211">
      <w:bodyDiv w:val="1"/>
      <w:marLeft w:val="0"/>
      <w:marRight w:val="0"/>
      <w:marTop w:val="0"/>
      <w:marBottom w:val="0"/>
      <w:divBdr>
        <w:top w:val="none" w:sz="0" w:space="0" w:color="auto"/>
        <w:left w:val="none" w:sz="0" w:space="0" w:color="auto"/>
        <w:bottom w:val="none" w:sz="0" w:space="0" w:color="auto"/>
        <w:right w:val="none" w:sz="0" w:space="0" w:color="auto"/>
      </w:divBdr>
    </w:div>
    <w:div w:id="978150502">
      <w:bodyDiv w:val="1"/>
      <w:marLeft w:val="0"/>
      <w:marRight w:val="0"/>
      <w:marTop w:val="0"/>
      <w:marBottom w:val="0"/>
      <w:divBdr>
        <w:top w:val="none" w:sz="0" w:space="0" w:color="auto"/>
        <w:left w:val="none" w:sz="0" w:space="0" w:color="auto"/>
        <w:bottom w:val="none" w:sz="0" w:space="0" w:color="auto"/>
        <w:right w:val="none" w:sz="0" w:space="0" w:color="auto"/>
      </w:divBdr>
    </w:div>
    <w:div w:id="978608732">
      <w:bodyDiv w:val="1"/>
      <w:marLeft w:val="0"/>
      <w:marRight w:val="0"/>
      <w:marTop w:val="0"/>
      <w:marBottom w:val="0"/>
      <w:divBdr>
        <w:top w:val="none" w:sz="0" w:space="0" w:color="auto"/>
        <w:left w:val="none" w:sz="0" w:space="0" w:color="auto"/>
        <w:bottom w:val="none" w:sz="0" w:space="0" w:color="auto"/>
        <w:right w:val="none" w:sz="0" w:space="0" w:color="auto"/>
      </w:divBdr>
    </w:div>
    <w:div w:id="992491407">
      <w:bodyDiv w:val="1"/>
      <w:marLeft w:val="0"/>
      <w:marRight w:val="0"/>
      <w:marTop w:val="0"/>
      <w:marBottom w:val="0"/>
      <w:divBdr>
        <w:top w:val="none" w:sz="0" w:space="0" w:color="auto"/>
        <w:left w:val="none" w:sz="0" w:space="0" w:color="auto"/>
        <w:bottom w:val="none" w:sz="0" w:space="0" w:color="auto"/>
        <w:right w:val="none" w:sz="0" w:space="0" w:color="auto"/>
      </w:divBdr>
    </w:div>
    <w:div w:id="1027103847">
      <w:bodyDiv w:val="1"/>
      <w:marLeft w:val="0"/>
      <w:marRight w:val="0"/>
      <w:marTop w:val="0"/>
      <w:marBottom w:val="0"/>
      <w:divBdr>
        <w:top w:val="none" w:sz="0" w:space="0" w:color="auto"/>
        <w:left w:val="none" w:sz="0" w:space="0" w:color="auto"/>
        <w:bottom w:val="none" w:sz="0" w:space="0" w:color="auto"/>
        <w:right w:val="none" w:sz="0" w:space="0" w:color="auto"/>
      </w:divBdr>
    </w:div>
    <w:div w:id="1030255175">
      <w:bodyDiv w:val="1"/>
      <w:marLeft w:val="0"/>
      <w:marRight w:val="0"/>
      <w:marTop w:val="0"/>
      <w:marBottom w:val="0"/>
      <w:divBdr>
        <w:top w:val="none" w:sz="0" w:space="0" w:color="auto"/>
        <w:left w:val="none" w:sz="0" w:space="0" w:color="auto"/>
        <w:bottom w:val="none" w:sz="0" w:space="0" w:color="auto"/>
        <w:right w:val="none" w:sz="0" w:space="0" w:color="auto"/>
      </w:divBdr>
    </w:div>
    <w:div w:id="1036349673">
      <w:bodyDiv w:val="1"/>
      <w:marLeft w:val="0"/>
      <w:marRight w:val="0"/>
      <w:marTop w:val="0"/>
      <w:marBottom w:val="0"/>
      <w:divBdr>
        <w:top w:val="none" w:sz="0" w:space="0" w:color="auto"/>
        <w:left w:val="none" w:sz="0" w:space="0" w:color="auto"/>
        <w:bottom w:val="none" w:sz="0" w:space="0" w:color="auto"/>
        <w:right w:val="none" w:sz="0" w:space="0" w:color="auto"/>
      </w:divBdr>
    </w:div>
    <w:div w:id="1084648250">
      <w:bodyDiv w:val="1"/>
      <w:marLeft w:val="0"/>
      <w:marRight w:val="0"/>
      <w:marTop w:val="0"/>
      <w:marBottom w:val="0"/>
      <w:divBdr>
        <w:top w:val="none" w:sz="0" w:space="0" w:color="auto"/>
        <w:left w:val="none" w:sz="0" w:space="0" w:color="auto"/>
        <w:bottom w:val="none" w:sz="0" w:space="0" w:color="auto"/>
        <w:right w:val="none" w:sz="0" w:space="0" w:color="auto"/>
      </w:divBdr>
    </w:div>
    <w:div w:id="1086000295">
      <w:bodyDiv w:val="1"/>
      <w:marLeft w:val="0"/>
      <w:marRight w:val="0"/>
      <w:marTop w:val="0"/>
      <w:marBottom w:val="0"/>
      <w:divBdr>
        <w:top w:val="none" w:sz="0" w:space="0" w:color="auto"/>
        <w:left w:val="none" w:sz="0" w:space="0" w:color="auto"/>
        <w:bottom w:val="none" w:sz="0" w:space="0" w:color="auto"/>
        <w:right w:val="none" w:sz="0" w:space="0" w:color="auto"/>
      </w:divBdr>
    </w:div>
    <w:div w:id="1093748482">
      <w:bodyDiv w:val="1"/>
      <w:marLeft w:val="0"/>
      <w:marRight w:val="0"/>
      <w:marTop w:val="0"/>
      <w:marBottom w:val="0"/>
      <w:divBdr>
        <w:top w:val="none" w:sz="0" w:space="0" w:color="auto"/>
        <w:left w:val="none" w:sz="0" w:space="0" w:color="auto"/>
        <w:bottom w:val="none" w:sz="0" w:space="0" w:color="auto"/>
        <w:right w:val="none" w:sz="0" w:space="0" w:color="auto"/>
      </w:divBdr>
    </w:div>
    <w:div w:id="1109544972">
      <w:bodyDiv w:val="1"/>
      <w:marLeft w:val="0"/>
      <w:marRight w:val="0"/>
      <w:marTop w:val="0"/>
      <w:marBottom w:val="0"/>
      <w:divBdr>
        <w:top w:val="none" w:sz="0" w:space="0" w:color="auto"/>
        <w:left w:val="none" w:sz="0" w:space="0" w:color="auto"/>
        <w:bottom w:val="none" w:sz="0" w:space="0" w:color="auto"/>
        <w:right w:val="none" w:sz="0" w:space="0" w:color="auto"/>
      </w:divBdr>
    </w:div>
    <w:div w:id="1120605920">
      <w:bodyDiv w:val="1"/>
      <w:marLeft w:val="0"/>
      <w:marRight w:val="0"/>
      <w:marTop w:val="0"/>
      <w:marBottom w:val="0"/>
      <w:divBdr>
        <w:top w:val="none" w:sz="0" w:space="0" w:color="auto"/>
        <w:left w:val="none" w:sz="0" w:space="0" w:color="auto"/>
        <w:bottom w:val="none" w:sz="0" w:space="0" w:color="auto"/>
        <w:right w:val="none" w:sz="0" w:space="0" w:color="auto"/>
      </w:divBdr>
    </w:div>
    <w:div w:id="1122767962">
      <w:bodyDiv w:val="1"/>
      <w:marLeft w:val="0"/>
      <w:marRight w:val="0"/>
      <w:marTop w:val="0"/>
      <w:marBottom w:val="0"/>
      <w:divBdr>
        <w:top w:val="none" w:sz="0" w:space="0" w:color="auto"/>
        <w:left w:val="none" w:sz="0" w:space="0" w:color="auto"/>
        <w:bottom w:val="none" w:sz="0" w:space="0" w:color="auto"/>
        <w:right w:val="none" w:sz="0" w:space="0" w:color="auto"/>
      </w:divBdr>
    </w:div>
    <w:div w:id="1133133727">
      <w:bodyDiv w:val="1"/>
      <w:marLeft w:val="0"/>
      <w:marRight w:val="0"/>
      <w:marTop w:val="0"/>
      <w:marBottom w:val="0"/>
      <w:divBdr>
        <w:top w:val="none" w:sz="0" w:space="0" w:color="auto"/>
        <w:left w:val="none" w:sz="0" w:space="0" w:color="auto"/>
        <w:bottom w:val="none" w:sz="0" w:space="0" w:color="auto"/>
        <w:right w:val="none" w:sz="0" w:space="0" w:color="auto"/>
      </w:divBdr>
    </w:div>
    <w:div w:id="1138960872">
      <w:bodyDiv w:val="1"/>
      <w:marLeft w:val="0"/>
      <w:marRight w:val="0"/>
      <w:marTop w:val="0"/>
      <w:marBottom w:val="0"/>
      <w:divBdr>
        <w:top w:val="none" w:sz="0" w:space="0" w:color="auto"/>
        <w:left w:val="none" w:sz="0" w:space="0" w:color="auto"/>
        <w:bottom w:val="none" w:sz="0" w:space="0" w:color="auto"/>
        <w:right w:val="none" w:sz="0" w:space="0" w:color="auto"/>
      </w:divBdr>
    </w:div>
    <w:div w:id="1147630388">
      <w:bodyDiv w:val="1"/>
      <w:marLeft w:val="0"/>
      <w:marRight w:val="0"/>
      <w:marTop w:val="0"/>
      <w:marBottom w:val="0"/>
      <w:divBdr>
        <w:top w:val="none" w:sz="0" w:space="0" w:color="auto"/>
        <w:left w:val="none" w:sz="0" w:space="0" w:color="auto"/>
        <w:bottom w:val="none" w:sz="0" w:space="0" w:color="auto"/>
        <w:right w:val="none" w:sz="0" w:space="0" w:color="auto"/>
      </w:divBdr>
    </w:div>
    <w:div w:id="1147749600">
      <w:bodyDiv w:val="1"/>
      <w:marLeft w:val="0"/>
      <w:marRight w:val="0"/>
      <w:marTop w:val="0"/>
      <w:marBottom w:val="0"/>
      <w:divBdr>
        <w:top w:val="none" w:sz="0" w:space="0" w:color="auto"/>
        <w:left w:val="none" w:sz="0" w:space="0" w:color="auto"/>
        <w:bottom w:val="none" w:sz="0" w:space="0" w:color="auto"/>
        <w:right w:val="none" w:sz="0" w:space="0" w:color="auto"/>
      </w:divBdr>
    </w:div>
    <w:div w:id="1161500852">
      <w:bodyDiv w:val="1"/>
      <w:marLeft w:val="0"/>
      <w:marRight w:val="0"/>
      <w:marTop w:val="0"/>
      <w:marBottom w:val="0"/>
      <w:divBdr>
        <w:top w:val="none" w:sz="0" w:space="0" w:color="auto"/>
        <w:left w:val="none" w:sz="0" w:space="0" w:color="auto"/>
        <w:bottom w:val="none" w:sz="0" w:space="0" w:color="auto"/>
        <w:right w:val="none" w:sz="0" w:space="0" w:color="auto"/>
      </w:divBdr>
    </w:div>
    <w:div w:id="1174222794">
      <w:bodyDiv w:val="1"/>
      <w:marLeft w:val="0"/>
      <w:marRight w:val="0"/>
      <w:marTop w:val="0"/>
      <w:marBottom w:val="0"/>
      <w:divBdr>
        <w:top w:val="none" w:sz="0" w:space="0" w:color="auto"/>
        <w:left w:val="none" w:sz="0" w:space="0" w:color="auto"/>
        <w:bottom w:val="none" w:sz="0" w:space="0" w:color="auto"/>
        <w:right w:val="none" w:sz="0" w:space="0" w:color="auto"/>
      </w:divBdr>
    </w:div>
    <w:div w:id="1179585393">
      <w:bodyDiv w:val="1"/>
      <w:marLeft w:val="0"/>
      <w:marRight w:val="0"/>
      <w:marTop w:val="0"/>
      <w:marBottom w:val="0"/>
      <w:divBdr>
        <w:top w:val="none" w:sz="0" w:space="0" w:color="auto"/>
        <w:left w:val="none" w:sz="0" w:space="0" w:color="auto"/>
        <w:bottom w:val="none" w:sz="0" w:space="0" w:color="auto"/>
        <w:right w:val="none" w:sz="0" w:space="0" w:color="auto"/>
      </w:divBdr>
    </w:div>
    <w:div w:id="1188375784">
      <w:bodyDiv w:val="1"/>
      <w:marLeft w:val="0"/>
      <w:marRight w:val="0"/>
      <w:marTop w:val="0"/>
      <w:marBottom w:val="0"/>
      <w:divBdr>
        <w:top w:val="none" w:sz="0" w:space="0" w:color="auto"/>
        <w:left w:val="none" w:sz="0" w:space="0" w:color="auto"/>
        <w:bottom w:val="none" w:sz="0" w:space="0" w:color="auto"/>
        <w:right w:val="none" w:sz="0" w:space="0" w:color="auto"/>
      </w:divBdr>
    </w:div>
    <w:div w:id="1190872791">
      <w:bodyDiv w:val="1"/>
      <w:marLeft w:val="0"/>
      <w:marRight w:val="0"/>
      <w:marTop w:val="0"/>
      <w:marBottom w:val="0"/>
      <w:divBdr>
        <w:top w:val="none" w:sz="0" w:space="0" w:color="auto"/>
        <w:left w:val="none" w:sz="0" w:space="0" w:color="auto"/>
        <w:bottom w:val="none" w:sz="0" w:space="0" w:color="auto"/>
        <w:right w:val="none" w:sz="0" w:space="0" w:color="auto"/>
      </w:divBdr>
    </w:div>
    <w:div w:id="1196697356">
      <w:bodyDiv w:val="1"/>
      <w:marLeft w:val="0"/>
      <w:marRight w:val="0"/>
      <w:marTop w:val="0"/>
      <w:marBottom w:val="0"/>
      <w:divBdr>
        <w:top w:val="none" w:sz="0" w:space="0" w:color="auto"/>
        <w:left w:val="none" w:sz="0" w:space="0" w:color="auto"/>
        <w:bottom w:val="none" w:sz="0" w:space="0" w:color="auto"/>
        <w:right w:val="none" w:sz="0" w:space="0" w:color="auto"/>
      </w:divBdr>
    </w:div>
    <w:div w:id="1220747288">
      <w:bodyDiv w:val="1"/>
      <w:marLeft w:val="0"/>
      <w:marRight w:val="0"/>
      <w:marTop w:val="0"/>
      <w:marBottom w:val="0"/>
      <w:divBdr>
        <w:top w:val="none" w:sz="0" w:space="0" w:color="auto"/>
        <w:left w:val="none" w:sz="0" w:space="0" w:color="auto"/>
        <w:bottom w:val="none" w:sz="0" w:space="0" w:color="auto"/>
        <w:right w:val="none" w:sz="0" w:space="0" w:color="auto"/>
      </w:divBdr>
    </w:div>
    <w:div w:id="1224095308">
      <w:bodyDiv w:val="1"/>
      <w:marLeft w:val="0"/>
      <w:marRight w:val="0"/>
      <w:marTop w:val="0"/>
      <w:marBottom w:val="0"/>
      <w:divBdr>
        <w:top w:val="none" w:sz="0" w:space="0" w:color="auto"/>
        <w:left w:val="none" w:sz="0" w:space="0" w:color="auto"/>
        <w:bottom w:val="none" w:sz="0" w:space="0" w:color="auto"/>
        <w:right w:val="none" w:sz="0" w:space="0" w:color="auto"/>
      </w:divBdr>
    </w:div>
    <w:div w:id="1228031496">
      <w:bodyDiv w:val="1"/>
      <w:marLeft w:val="0"/>
      <w:marRight w:val="0"/>
      <w:marTop w:val="0"/>
      <w:marBottom w:val="0"/>
      <w:divBdr>
        <w:top w:val="none" w:sz="0" w:space="0" w:color="auto"/>
        <w:left w:val="none" w:sz="0" w:space="0" w:color="auto"/>
        <w:bottom w:val="none" w:sz="0" w:space="0" w:color="auto"/>
        <w:right w:val="none" w:sz="0" w:space="0" w:color="auto"/>
      </w:divBdr>
    </w:div>
    <w:div w:id="1236432094">
      <w:bodyDiv w:val="1"/>
      <w:marLeft w:val="0"/>
      <w:marRight w:val="0"/>
      <w:marTop w:val="0"/>
      <w:marBottom w:val="0"/>
      <w:divBdr>
        <w:top w:val="none" w:sz="0" w:space="0" w:color="auto"/>
        <w:left w:val="none" w:sz="0" w:space="0" w:color="auto"/>
        <w:bottom w:val="none" w:sz="0" w:space="0" w:color="auto"/>
        <w:right w:val="none" w:sz="0" w:space="0" w:color="auto"/>
      </w:divBdr>
    </w:div>
    <w:div w:id="1246233055">
      <w:bodyDiv w:val="1"/>
      <w:marLeft w:val="0"/>
      <w:marRight w:val="0"/>
      <w:marTop w:val="0"/>
      <w:marBottom w:val="0"/>
      <w:divBdr>
        <w:top w:val="none" w:sz="0" w:space="0" w:color="auto"/>
        <w:left w:val="none" w:sz="0" w:space="0" w:color="auto"/>
        <w:bottom w:val="none" w:sz="0" w:space="0" w:color="auto"/>
        <w:right w:val="none" w:sz="0" w:space="0" w:color="auto"/>
      </w:divBdr>
    </w:div>
    <w:div w:id="1252471724">
      <w:bodyDiv w:val="1"/>
      <w:marLeft w:val="0"/>
      <w:marRight w:val="0"/>
      <w:marTop w:val="0"/>
      <w:marBottom w:val="0"/>
      <w:divBdr>
        <w:top w:val="none" w:sz="0" w:space="0" w:color="auto"/>
        <w:left w:val="none" w:sz="0" w:space="0" w:color="auto"/>
        <w:bottom w:val="none" w:sz="0" w:space="0" w:color="auto"/>
        <w:right w:val="none" w:sz="0" w:space="0" w:color="auto"/>
      </w:divBdr>
    </w:div>
    <w:div w:id="1253323545">
      <w:bodyDiv w:val="1"/>
      <w:marLeft w:val="0"/>
      <w:marRight w:val="0"/>
      <w:marTop w:val="0"/>
      <w:marBottom w:val="0"/>
      <w:divBdr>
        <w:top w:val="none" w:sz="0" w:space="0" w:color="auto"/>
        <w:left w:val="none" w:sz="0" w:space="0" w:color="auto"/>
        <w:bottom w:val="none" w:sz="0" w:space="0" w:color="auto"/>
        <w:right w:val="none" w:sz="0" w:space="0" w:color="auto"/>
      </w:divBdr>
    </w:div>
    <w:div w:id="1271206938">
      <w:bodyDiv w:val="1"/>
      <w:marLeft w:val="0"/>
      <w:marRight w:val="0"/>
      <w:marTop w:val="0"/>
      <w:marBottom w:val="0"/>
      <w:divBdr>
        <w:top w:val="none" w:sz="0" w:space="0" w:color="auto"/>
        <w:left w:val="none" w:sz="0" w:space="0" w:color="auto"/>
        <w:bottom w:val="none" w:sz="0" w:space="0" w:color="auto"/>
        <w:right w:val="none" w:sz="0" w:space="0" w:color="auto"/>
      </w:divBdr>
    </w:div>
    <w:div w:id="1276641585">
      <w:bodyDiv w:val="1"/>
      <w:marLeft w:val="0"/>
      <w:marRight w:val="0"/>
      <w:marTop w:val="0"/>
      <w:marBottom w:val="0"/>
      <w:divBdr>
        <w:top w:val="none" w:sz="0" w:space="0" w:color="auto"/>
        <w:left w:val="none" w:sz="0" w:space="0" w:color="auto"/>
        <w:bottom w:val="none" w:sz="0" w:space="0" w:color="auto"/>
        <w:right w:val="none" w:sz="0" w:space="0" w:color="auto"/>
      </w:divBdr>
    </w:div>
    <w:div w:id="1282298075">
      <w:bodyDiv w:val="1"/>
      <w:marLeft w:val="0"/>
      <w:marRight w:val="0"/>
      <w:marTop w:val="0"/>
      <w:marBottom w:val="0"/>
      <w:divBdr>
        <w:top w:val="none" w:sz="0" w:space="0" w:color="auto"/>
        <w:left w:val="none" w:sz="0" w:space="0" w:color="auto"/>
        <w:bottom w:val="none" w:sz="0" w:space="0" w:color="auto"/>
        <w:right w:val="none" w:sz="0" w:space="0" w:color="auto"/>
      </w:divBdr>
    </w:div>
    <w:div w:id="1285505708">
      <w:bodyDiv w:val="1"/>
      <w:marLeft w:val="0"/>
      <w:marRight w:val="0"/>
      <w:marTop w:val="0"/>
      <w:marBottom w:val="0"/>
      <w:divBdr>
        <w:top w:val="none" w:sz="0" w:space="0" w:color="auto"/>
        <w:left w:val="none" w:sz="0" w:space="0" w:color="auto"/>
        <w:bottom w:val="none" w:sz="0" w:space="0" w:color="auto"/>
        <w:right w:val="none" w:sz="0" w:space="0" w:color="auto"/>
      </w:divBdr>
    </w:div>
    <w:div w:id="1297371866">
      <w:bodyDiv w:val="1"/>
      <w:marLeft w:val="0"/>
      <w:marRight w:val="0"/>
      <w:marTop w:val="0"/>
      <w:marBottom w:val="0"/>
      <w:divBdr>
        <w:top w:val="none" w:sz="0" w:space="0" w:color="auto"/>
        <w:left w:val="none" w:sz="0" w:space="0" w:color="auto"/>
        <w:bottom w:val="none" w:sz="0" w:space="0" w:color="auto"/>
        <w:right w:val="none" w:sz="0" w:space="0" w:color="auto"/>
      </w:divBdr>
    </w:div>
    <w:div w:id="1304313193">
      <w:bodyDiv w:val="1"/>
      <w:marLeft w:val="0"/>
      <w:marRight w:val="0"/>
      <w:marTop w:val="0"/>
      <w:marBottom w:val="0"/>
      <w:divBdr>
        <w:top w:val="none" w:sz="0" w:space="0" w:color="auto"/>
        <w:left w:val="none" w:sz="0" w:space="0" w:color="auto"/>
        <w:bottom w:val="none" w:sz="0" w:space="0" w:color="auto"/>
        <w:right w:val="none" w:sz="0" w:space="0" w:color="auto"/>
      </w:divBdr>
    </w:div>
    <w:div w:id="1305155439">
      <w:bodyDiv w:val="1"/>
      <w:marLeft w:val="0"/>
      <w:marRight w:val="0"/>
      <w:marTop w:val="0"/>
      <w:marBottom w:val="0"/>
      <w:divBdr>
        <w:top w:val="none" w:sz="0" w:space="0" w:color="auto"/>
        <w:left w:val="none" w:sz="0" w:space="0" w:color="auto"/>
        <w:bottom w:val="none" w:sz="0" w:space="0" w:color="auto"/>
        <w:right w:val="none" w:sz="0" w:space="0" w:color="auto"/>
      </w:divBdr>
    </w:div>
    <w:div w:id="1322075940">
      <w:bodyDiv w:val="1"/>
      <w:marLeft w:val="0"/>
      <w:marRight w:val="0"/>
      <w:marTop w:val="0"/>
      <w:marBottom w:val="0"/>
      <w:divBdr>
        <w:top w:val="none" w:sz="0" w:space="0" w:color="auto"/>
        <w:left w:val="none" w:sz="0" w:space="0" w:color="auto"/>
        <w:bottom w:val="none" w:sz="0" w:space="0" w:color="auto"/>
        <w:right w:val="none" w:sz="0" w:space="0" w:color="auto"/>
      </w:divBdr>
    </w:div>
    <w:div w:id="1325159819">
      <w:bodyDiv w:val="1"/>
      <w:marLeft w:val="0"/>
      <w:marRight w:val="0"/>
      <w:marTop w:val="0"/>
      <w:marBottom w:val="0"/>
      <w:divBdr>
        <w:top w:val="none" w:sz="0" w:space="0" w:color="auto"/>
        <w:left w:val="none" w:sz="0" w:space="0" w:color="auto"/>
        <w:bottom w:val="none" w:sz="0" w:space="0" w:color="auto"/>
        <w:right w:val="none" w:sz="0" w:space="0" w:color="auto"/>
      </w:divBdr>
    </w:div>
    <w:div w:id="1337532679">
      <w:bodyDiv w:val="1"/>
      <w:marLeft w:val="0"/>
      <w:marRight w:val="0"/>
      <w:marTop w:val="0"/>
      <w:marBottom w:val="0"/>
      <w:divBdr>
        <w:top w:val="none" w:sz="0" w:space="0" w:color="auto"/>
        <w:left w:val="none" w:sz="0" w:space="0" w:color="auto"/>
        <w:bottom w:val="none" w:sz="0" w:space="0" w:color="auto"/>
        <w:right w:val="none" w:sz="0" w:space="0" w:color="auto"/>
      </w:divBdr>
    </w:div>
    <w:div w:id="1387140551">
      <w:bodyDiv w:val="1"/>
      <w:marLeft w:val="0"/>
      <w:marRight w:val="0"/>
      <w:marTop w:val="0"/>
      <w:marBottom w:val="0"/>
      <w:divBdr>
        <w:top w:val="none" w:sz="0" w:space="0" w:color="auto"/>
        <w:left w:val="none" w:sz="0" w:space="0" w:color="auto"/>
        <w:bottom w:val="none" w:sz="0" w:space="0" w:color="auto"/>
        <w:right w:val="none" w:sz="0" w:space="0" w:color="auto"/>
      </w:divBdr>
    </w:div>
    <w:div w:id="1389264327">
      <w:bodyDiv w:val="1"/>
      <w:marLeft w:val="0"/>
      <w:marRight w:val="0"/>
      <w:marTop w:val="0"/>
      <w:marBottom w:val="0"/>
      <w:divBdr>
        <w:top w:val="none" w:sz="0" w:space="0" w:color="auto"/>
        <w:left w:val="none" w:sz="0" w:space="0" w:color="auto"/>
        <w:bottom w:val="none" w:sz="0" w:space="0" w:color="auto"/>
        <w:right w:val="none" w:sz="0" w:space="0" w:color="auto"/>
      </w:divBdr>
    </w:div>
    <w:div w:id="1405370256">
      <w:bodyDiv w:val="1"/>
      <w:marLeft w:val="0"/>
      <w:marRight w:val="0"/>
      <w:marTop w:val="0"/>
      <w:marBottom w:val="0"/>
      <w:divBdr>
        <w:top w:val="none" w:sz="0" w:space="0" w:color="auto"/>
        <w:left w:val="none" w:sz="0" w:space="0" w:color="auto"/>
        <w:bottom w:val="none" w:sz="0" w:space="0" w:color="auto"/>
        <w:right w:val="none" w:sz="0" w:space="0" w:color="auto"/>
      </w:divBdr>
    </w:div>
    <w:div w:id="1405908896">
      <w:bodyDiv w:val="1"/>
      <w:marLeft w:val="0"/>
      <w:marRight w:val="0"/>
      <w:marTop w:val="0"/>
      <w:marBottom w:val="0"/>
      <w:divBdr>
        <w:top w:val="none" w:sz="0" w:space="0" w:color="auto"/>
        <w:left w:val="none" w:sz="0" w:space="0" w:color="auto"/>
        <w:bottom w:val="none" w:sz="0" w:space="0" w:color="auto"/>
        <w:right w:val="none" w:sz="0" w:space="0" w:color="auto"/>
      </w:divBdr>
    </w:div>
    <w:div w:id="1421684087">
      <w:bodyDiv w:val="1"/>
      <w:marLeft w:val="0"/>
      <w:marRight w:val="0"/>
      <w:marTop w:val="0"/>
      <w:marBottom w:val="0"/>
      <w:divBdr>
        <w:top w:val="none" w:sz="0" w:space="0" w:color="auto"/>
        <w:left w:val="none" w:sz="0" w:space="0" w:color="auto"/>
        <w:bottom w:val="none" w:sz="0" w:space="0" w:color="auto"/>
        <w:right w:val="none" w:sz="0" w:space="0" w:color="auto"/>
      </w:divBdr>
    </w:div>
    <w:div w:id="1422601016">
      <w:bodyDiv w:val="1"/>
      <w:marLeft w:val="0"/>
      <w:marRight w:val="0"/>
      <w:marTop w:val="0"/>
      <w:marBottom w:val="0"/>
      <w:divBdr>
        <w:top w:val="none" w:sz="0" w:space="0" w:color="auto"/>
        <w:left w:val="none" w:sz="0" w:space="0" w:color="auto"/>
        <w:bottom w:val="none" w:sz="0" w:space="0" w:color="auto"/>
        <w:right w:val="none" w:sz="0" w:space="0" w:color="auto"/>
      </w:divBdr>
    </w:div>
    <w:div w:id="1424451340">
      <w:bodyDiv w:val="1"/>
      <w:marLeft w:val="0"/>
      <w:marRight w:val="0"/>
      <w:marTop w:val="0"/>
      <w:marBottom w:val="0"/>
      <w:divBdr>
        <w:top w:val="none" w:sz="0" w:space="0" w:color="auto"/>
        <w:left w:val="none" w:sz="0" w:space="0" w:color="auto"/>
        <w:bottom w:val="none" w:sz="0" w:space="0" w:color="auto"/>
        <w:right w:val="none" w:sz="0" w:space="0" w:color="auto"/>
      </w:divBdr>
    </w:div>
    <w:div w:id="1425228810">
      <w:bodyDiv w:val="1"/>
      <w:marLeft w:val="0"/>
      <w:marRight w:val="0"/>
      <w:marTop w:val="0"/>
      <w:marBottom w:val="0"/>
      <w:divBdr>
        <w:top w:val="none" w:sz="0" w:space="0" w:color="auto"/>
        <w:left w:val="none" w:sz="0" w:space="0" w:color="auto"/>
        <w:bottom w:val="none" w:sz="0" w:space="0" w:color="auto"/>
        <w:right w:val="none" w:sz="0" w:space="0" w:color="auto"/>
      </w:divBdr>
    </w:div>
    <w:div w:id="1429807717">
      <w:bodyDiv w:val="1"/>
      <w:marLeft w:val="0"/>
      <w:marRight w:val="0"/>
      <w:marTop w:val="0"/>
      <w:marBottom w:val="0"/>
      <w:divBdr>
        <w:top w:val="none" w:sz="0" w:space="0" w:color="auto"/>
        <w:left w:val="none" w:sz="0" w:space="0" w:color="auto"/>
        <w:bottom w:val="none" w:sz="0" w:space="0" w:color="auto"/>
        <w:right w:val="none" w:sz="0" w:space="0" w:color="auto"/>
      </w:divBdr>
    </w:div>
    <w:div w:id="1430345334">
      <w:bodyDiv w:val="1"/>
      <w:marLeft w:val="0"/>
      <w:marRight w:val="0"/>
      <w:marTop w:val="0"/>
      <w:marBottom w:val="0"/>
      <w:divBdr>
        <w:top w:val="none" w:sz="0" w:space="0" w:color="auto"/>
        <w:left w:val="none" w:sz="0" w:space="0" w:color="auto"/>
        <w:bottom w:val="none" w:sz="0" w:space="0" w:color="auto"/>
        <w:right w:val="none" w:sz="0" w:space="0" w:color="auto"/>
      </w:divBdr>
    </w:div>
    <w:div w:id="1430540675">
      <w:bodyDiv w:val="1"/>
      <w:marLeft w:val="0"/>
      <w:marRight w:val="0"/>
      <w:marTop w:val="0"/>
      <w:marBottom w:val="0"/>
      <w:divBdr>
        <w:top w:val="none" w:sz="0" w:space="0" w:color="auto"/>
        <w:left w:val="none" w:sz="0" w:space="0" w:color="auto"/>
        <w:bottom w:val="none" w:sz="0" w:space="0" w:color="auto"/>
        <w:right w:val="none" w:sz="0" w:space="0" w:color="auto"/>
      </w:divBdr>
    </w:div>
    <w:div w:id="1440905029">
      <w:bodyDiv w:val="1"/>
      <w:marLeft w:val="0"/>
      <w:marRight w:val="0"/>
      <w:marTop w:val="0"/>
      <w:marBottom w:val="0"/>
      <w:divBdr>
        <w:top w:val="none" w:sz="0" w:space="0" w:color="auto"/>
        <w:left w:val="none" w:sz="0" w:space="0" w:color="auto"/>
        <w:bottom w:val="none" w:sz="0" w:space="0" w:color="auto"/>
        <w:right w:val="none" w:sz="0" w:space="0" w:color="auto"/>
      </w:divBdr>
    </w:div>
    <w:div w:id="1485001613">
      <w:bodyDiv w:val="1"/>
      <w:marLeft w:val="0"/>
      <w:marRight w:val="0"/>
      <w:marTop w:val="0"/>
      <w:marBottom w:val="0"/>
      <w:divBdr>
        <w:top w:val="none" w:sz="0" w:space="0" w:color="auto"/>
        <w:left w:val="none" w:sz="0" w:space="0" w:color="auto"/>
        <w:bottom w:val="none" w:sz="0" w:space="0" w:color="auto"/>
        <w:right w:val="none" w:sz="0" w:space="0" w:color="auto"/>
      </w:divBdr>
    </w:div>
    <w:div w:id="1486119053">
      <w:bodyDiv w:val="1"/>
      <w:marLeft w:val="0"/>
      <w:marRight w:val="0"/>
      <w:marTop w:val="0"/>
      <w:marBottom w:val="0"/>
      <w:divBdr>
        <w:top w:val="none" w:sz="0" w:space="0" w:color="auto"/>
        <w:left w:val="none" w:sz="0" w:space="0" w:color="auto"/>
        <w:bottom w:val="none" w:sz="0" w:space="0" w:color="auto"/>
        <w:right w:val="none" w:sz="0" w:space="0" w:color="auto"/>
      </w:divBdr>
    </w:div>
    <w:div w:id="1503740870">
      <w:bodyDiv w:val="1"/>
      <w:marLeft w:val="0"/>
      <w:marRight w:val="0"/>
      <w:marTop w:val="0"/>
      <w:marBottom w:val="0"/>
      <w:divBdr>
        <w:top w:val="none" w:sz="0" w:space="0" w:color="auto"/>
        <w:left w:val="none" w:sz="0" w:space="0" w:color="auto"/>
        <w:bottom w:val="none" w:sz="0" w:space="0" w:color="auto"/>
        <w:right w:val="none" w:sz="0" w:space="0" w:color="auto"/>
      </w:divBdr>
    </w:div>
    <w:div w:id="1516924714">
      <w:bodyDiv w:val="1"/>
      <w:marLeft w:val="0"/>
      <w:marRight w:val="0"/>
      <w:marTop w:val="0"/>
      <w:marBottom w:val="0"/>
      <w:divBdr>
        <w:top w:val="none" w:sz="0" w:space="0" w:color="auto"/>
        <w:left w:val="none" w:sz="0" w:space="0" w:color="auto"/>
        <w:bottom w:val="none" w:sz="0" w:space="0" w:color="auto"/>
        <w:right w:val="none" w:sz="0" w:space="0" w:color="auto"/>
      </w:divBdr>
    </w:div>
    <w:div w:id="1521815938">
      <w:bodyDiv w:val="1"/>
      <w:marLeft w:val="0"/>
      <w:marRight w:val="0"/>
      <w:marTop w:val="0"/>
      <w:marBottom w:val="0"/>
      <w:divBdr>
        <w:top w:val="none" w:sz="0" w:space="0" w:color="auto"/>
        <w:left w:val="none" w:sz="0" w:space="0" w:color="auto"/>
        <w:bottom w:val="none" w:sz="0" w:space="0" w:color="auto"/>
        <w:right w:val="none" w:sz="0" w:space="0" w:color="auto"/>
      </w:divBdr>
    </w:div>
    <w:div w:id="1558322340">
      <w:bodyDiv w:val="1"/>
      <w:marLeft w:val="0"/>
      <w:marRight w:val="0"/>
      <w:marTop w:val="0"/>
      <w:marBottom w:val="0"/>
      <w:divBdr>
        <w:top w:val="none" w:sz="0" w:space="0" w:color="auto"/>
        <w:left w:val="none" w:sz="0" w:space="0" w:color="auto"/>
        <w:bottom w:val="none" w:sz="0" w:space="0" w:color="auto"/>
        <w:right w:val="none" w:sz="0" w:space="0" w:color="auto"/>
      </w:divBdr>
    </w:div>
    <w:div w:id="1562014677">
      <w:bodyDiv w:val="1"/>
      <w:marLeft w:val="0"/>
      <w:marRight w:val="0"/>
      <w:marTop w:val="0"/>
      <w:marBottom w:val="0"/>
      <w:divBdr>
        <w:top w:val="none" w:sz="0" w:space="0" w:color="auto"/>
        <w:left w:val="none" w:sz="0" w:space="0" w:color="auto"/>
        <w:bottom w:val="none" w:sz="0" w:space="0" w:color="auto"/>
        <w:right w:val="none" w:sz="0" w:space="0" w:color="auto"/>
      </w:divBdr>
    </w:div>
    <w:div w:id="1583563667">
      <w:bodyDiv w:val="1"/>
      <w:marLeft w:val="0"/>
      <w:marRight w:val="0"/>
      <w:marTop w:val="0"/>
      <w:marBottom w:val="0"/>
      <w:divBdr>
        <w:top w:val="none" w:sz="0" w:space="0" w:color="auto"/>
        <w:left w:val="none" w:sz="0" w:space="0" w:color="auto"/>
        <w:bottom w:val="none" w:sz="0" w:space="0" w:color="auto"/>
        <w:right w:val="none" w:sz="0" w:space="0" w:color="auto"/>
      </w:divBdr>
    </w:div>
    <w:div w:id="1583755497">
      <w:bodyDiv w:val="1"/>
      <w:marLeft w:val="0"/>
      <w:marRight w:val="0"/>
      <w:marTop w:val="0"/>
      <w:marBottom w:val="0"/>
      <w:divBdr>
        <w:top w:val="none" w:sz="0" w:space="0" w:color="auto"/>
        <w:left w:val="none" w:sz="0" w:space="0" w:color="auto"/>
        <w:bottom w:val="none" w:sz="0" w:space="0" w:color="auto"/>
        <w:right w:val="none" w:sz="0" w:space="0" w:color="auto"/>
      </w:divBdr>
    </w:div>
    <w:div w:id="1603805804">
      <w:bodyDiv w:val="1"/>
      <w:marLeft w:val="0"/>
      <w:marRight w:val="0"/>
      <w:marTop w:val="0"/>
      <w:marBottom w:val="0"/>
      <w:divBdr>
        <w:top w:val="none" w:sz="0" w:space="0" w:color="auto"/>
        <w:left w:val="none" w:sz="0" w:space="0" w:color="auto"/>
        <w:bottom w:val="none" w:sz="0" w:space="0" w:color="auto"/>
        <w:right w:val="none" w:sz="0" w:space="0" w:color="auto"/>
      </w:divBdr>
    </w:div>
    <w:div w:id="1612589958">
      <w:bodyDiv w:val="1"/>
      <w:marLeft w:val="0"/>
      <w:marRight w:val="0"/>
      <w:marTop w:val="0"/>
      <w:marBottom w:val="0"/>
      <w:divBdr>
        <w:top w:val="none" w:sz="0" w:space="0" w:color="auto"/>
        <w:left w:val="none" w:sz="0" w:space="0" w:color="auto"/>
        <w:bottom w:val="none" w:sz="0" w:space="0" w:color="auto"/>
        <w:right w:val="none" w:sz="0" w:space="0" w:color="auto"/>
      </w:divBdr>
    </w:div>
    <w:div w:id="1630237792">
      <w:bodyDiv w:val="1"/>
      <w:marLeft w:val="0"/>
      <w:marRight w:val="0"/>
      <w:marTop w:val="0"/>
      <w:marBottom w:val="0"/>
      <w:divBdr>
        <w:top w:val="none" w:sz="0" w:space="0" w:color="auto"/>
        <w:left w:val="none" w:sz="0" w:space="0" w:color="auto"/>
        <w:bottom w:val="none" w:sz="0" w:space="0" w:color="auto"/>
        <w:right w:val="none" w:sz="0" w:space="0" w:color="auto"/>
      </w:divBdr>
    </w:div>
    <w:div w:id="1644845585">
      <w:bodyDiv w:val="1"/>
      <w:marLeft w:val="0"/>
      <w:marRight w:val="0"/>
      <w:marTop w:val="0"/>
      <w:marBottom w:val="0"/>
      <w:divBdr>
        <w:top w:val="none" w:sz="0" w:space="0" w:color="auto"/>
        <w:left w:val="none" w:sz="0" w:space="0" w:color="auto"/>
        <w:bottom w:val="none" w:sz="0" w:space="0" w:color="auto"/>
        <w:right w:val="none" w:sz="0" w:space="0" w:color="auto"/>
      </w:divBdr>
    </w:div>
    <w:div w:id="1652904538">
      <w:bodyDiv w:val="1"/>
      <w:marLeft w:val="0"/>
      <w:marRight w:val="0"/>
      <w:marTop w:val="0"/>
      <w:marBottom w:val="0"/>
      <w:divBdr>
        <w:top w:val="none" w:sz="0" w:space="0" w:color="auto"/>
        <w:left w:val="none" w:sz="0" w:space="0" w:color="auto"/>
        <w:bottom w:val="none" w:sz="0" w:space="0" w:color="auto"/>
        <w:right w:val="none" w:sz="0" w:space="0" w:color="auto"/>
      </w:divBdr>
    </w:div>
    <w:div w:id="1661076127">
      <w:bodyDiv w:val="1"/>
      <w:marLeft w:val="0"/>
      <w:marRight w:val="0"/>
      <w:marTop w:val="0"/>
      <w:marBottom w:val="0"/>
      <w:divBdr>
        <w:top w:val="none" w:sz="0" w:space="0" w:color="auto"/>
        <w:left w:val="none" w:sz="0" w:space="0" w:color="auto"/>
        <w:bottom w:val="none" w:sz="0" w:space="0" w:color="auto"/>
        <w:right w:val="none" w:sz="0" w:space="0" w:color="auto"/>
      </w:divBdr>
    </w:div>
    <w:div w:id="1664315666">
      <w:bodyDiv w:val="1"/>
      <w:marLeft w:val="0"/>
      <w:marRight w:val="0"/>
      <w:marTop w:val="0"/>
      <w:marBottom w:val="0"/>
      <w:divBdr>
        <w:top w:val="none" w:sz="0" w:space="0" w:color="auto"/>
        <w:left w:val="none" w:sz="0" w:space="0" w:color="auto"/>
        <w:bottom w:val="none" w:sz="0" w:space="0" w:color="auto"/>
        <w:right w:val="none" w:sz="0" w:space="0" w:color="auto"/>
      </w:divBdr>
    </w:div>
    <w:div w:id="1667980136">
      <w:bodyDiv w:val="1"/>
      <w:marLeft w:val="0"/>
      <w:marRight w:val="0"/>
      <w:marTop w:val="0"/>
      <w:marBottom w:val="0"/>
      <w:divBdr>
        <w:top w:val="none" w:sz="0" w:space="0" w:color="auto"/>
        <w:left w:val="none" w:sz="0" w:space="0" w:color="auto"/>
        <w:bottom w:val="none" w:sz="0" w:space="0" w:color="auto"/>
        <w:right w:val="none" w:sz="0" w:space="0" w:color="auto"/>
      </w:divBdr>
    </w:div>
    <w:div w:id="1669678022">
      <w:bodyDiv w:val="1"/>
      <w:marLeft w:val="0"/>
      <w:marRight w:val="0"/>
      <w:marTop w:val="0"/>
      <w:marBottom w:val="0"/>
      <w:divBdr>
        <w:top w:val="none" w:sz="0" w:space="0" w:color="auto"/>
        <w:left w:val="none" w:sz="0" w:space="0" w:color="auto"/>
        <w:bottom w:val="none" w:sz="0" w:space="0" w:color="auto"/>
        <w:right w:val="none" w:sz="0" w:space="0" w:color="auto"/>
      </w:divBdr>
    </w:div>
    <w:div w:id="1669871468">
      <w:bodyDiv w:val="1"/>
      <w:marLeft w:val="0"/>
      <w:marRight w:val="0"/>
      <w:marTop w:val="0"/>
      <w:marBottom w:val="0"/>
      <w:divBdr>
        <w:top w:val="none" w:sz="0" w:space="0" w:color="auto"/>
        <w:left w:val="none" w:sz="0" w:space="0" w:color="auto"/>
        <w:bottom w:val="none" w:sz="0" w:space="0" w:color="auto"/>
        <w:right w:val="none" w:sz="0" w:space="0" w:color="auto"/>
      </w:divBdr>
    </w:div>
    <w:div w:id="1673602851">
      <w:bodyDiv w:val="1"/>
      <w:marLeft w:val="0"/>
      <w:marRight w:val="0"/>
      <w:marTop w:val="0"/>
      <w:marBottom w:val="0"/>
      <w:divBdr>
        <w:top w:val="none" w:sz="0" w:space="0" w:color="auto"/>
        <w:left w:val="none" w:sz="0" w:space="0" w:color="auto"/>
        <w:bottom w:val="none" w:sz="0" w:space="0" w:color="auto"/>
        <w:right w:val="none" w:sz="0" w:space="0" w:color="auto"/>
      </w:divBdr>
    </w:div>
    <w:div w:id="1690983286">
      <w:bodyDiv w:val="1"/>
      <w:marLeft w:val="0"/>
      <w:marRight w:val="0"/>
      <w:marTop w:val="0"/>
      <w:marBottom w:val="0"/>
      <w:divBdr>
        <w:top w:val="none" w:sz="0" w:space="0" w:color="auto"/>
        <w:left w:val="none" w:sz="0" w:space="0" w:color="auto"/>
        <w:bottom w:val="none" w:sz="0" w:space="0" w:color="auto"/>
        <w:right w:val="none" w:sz="0" w:space="0" w:color="auto"/>
      </w:divBdr>
    </w:div>
    <w:div w:id="1698309119">
      <w:bodyDiv w:val="1"/>
      <w:marLeft w:val="0"/>
      <w:marRight w:val="0"/>
      <w:marTop w:val="0"/>
      <w:marBottom w:val="0"/>
      <w:divBdr>
        <w:top w:val="none" w:sz="0" w:space="0" w:color="auto"/>
        <w:left w:val="none" w:sz="0" w:space="0" w:color="auto"/>
        <w:bottom w:val="none" w:sz="0" w:space="0" w:color="auto"/>
        <w:right w:val="none" w:sz="0" w:space="0" w:color="auto"/>
      </w:divBdr>
    </w:div>
    <w:div w:id="1722824743">
      <w:bodyDiv w:val="1"/>
      <w:marLeft w:val="0"/>
      <w:marRight w:val="0"/>
      <w:marTop w:val="0"/>
      <w:marBottom w:val="0"/>
      <w:divBdr>
        <w:top w:val="none" w:sz="0" w:space="0" w:color="auto"/>
        <w:left w:val="none" w:sz="0" w:space="0" w:color="auto"/>
        <w:bottom w:val="none" w:sz="0" w:space="0" w:color="auto"/>
        <w:right w:val="none" w:sz="0" w:space="0" w:color="auto"/>
      </w:divBdr>
    </w:div>
    <w:div w:id="1723292027">
      <w:bodyDiv w:val="1"/>
      <w:marLeft w:val="0"/>
      <w:marRight w:val="0"/>
      <w:marTop w:val="0"/>
      <w:marBottom w:val="0"/>
      <w:divBdr>
        <w:top w:val="none" w:sz="0" w:space="0" w:color="auto"/>
        <w:left w:val="none" w:sz="0" w:space="0" w:color="auto"/>
        <w:bottom w:val="none" w:sz="0" w:space="0" w:color="auto"/>
        <w:right w:val="none" w:sz="0" w:space="0" w:color="auto"/>
      </w:divBdr>
    </w:div>
    <w:div w:id="1740785642">
      <w:bodyDiv w:val="1"/>
      <w:marLeft w:val="0"/>
      <w:marRight w:val="0"/>
      <w:marTop w:val="0"/>
      <w:marBottom w:val="0"/>
      <w:divBdr>
        <w:top w:val="none" w:sz="0" w:space="0" w:color="auto"/>
        <w:left w:val="none" w:sz="0" w:space="0" w:color="auto"/>
        <w:bottom w:val="none" w:sz="0" w:space="0" w:color="auto"/>
        <w:right w:val="none" w:sz="0" w:space="0" w:color="auto"/>
      </w:divBdr>
    </w:div>
    <w:div w:id="1780562307">
      <w:bodyDiv w:val="1"/>
      <w:marLeft w:val="0"/>
      <w:marRight w:val="0"/>
      <w:marTop w:val="0"/>
      <w:marBottom w:val="0"/>
      <w:divBdr>
        <w:top w:val="none" w:sz="0" w:space="0" w:color="auto"/>
        <w:left w:val="none" w:sz="0" w:space="0" w:color="auto"/>
        <w:bottom w:val="none" w:sz="0" w:space="0" w:color="auto"/>
        <w:right w:val="none" w:sz="0" w:space="0" w:color="auto"/>
      </w:divBdr>
    </w:div>
    <w:div w:id="1781562462">
      <w:bodyDiv w:val="1"/>
      <w:marLeft w:val="0"/>
      <w:marRight w:val="0"/>
      <w:marTop w:val="0"/>
      <w:marBottom w:val="0"/>
      <w:divBdr>
        <w:top w:val="none" w:sz="0" w:space="0" w:color="auto"/>
        <w:left w:val="none" w:sz="0" w:space="0" w:color="auto"/>
        <w:bottom w:val="none" w:sz="0" w:space="0" w:color="auto"/>
        <w:right w:val="none" w:sz="0" w:space="0" w:color="auto"/>
      </w:divBdr>
    </w:div>
    <w:div w:id="1792703944">
      <w:bodyDiv w:val="1"/>
      <w:marLeft w:val="0"/>
      <w:marRight w:val="0"/>
      <w:marTop w:val="0"/>
      <w:marBottom w:val="0"/>
      <w:divBdr>
        <w:top w:val="none" w:sz="0" w:space="0" w:color="auto"/>
        <w:left w:val="none" w:sz="0" w:space="0" w:color="auto"/>
        <w:bottom w:val="none" w:sz="0" w:space="0" w:color="auto"/>
        <w:right w:val="none" w:sz="0" w:space="0" w:color="auto"/>
      </w:divBdr>
    </w:div>
    <w:div w:id="1798987456">
      <w:bodyDiv w:val="1"/>
      <w:marLeft w:val="0"/>
      <w:marRight w:val="0"/>
      <w:marTop w:val="0"/>
      <w:marBottom w:val="0"/>
      <w:divBdr>
        <w:top w:val="none" w:sz="0" w:space="0" w:color="auto"/>
        <w:left w:val="none" w:sz="0" w:space="0" w:color="auto"/>
        <w:bottom w:val="none" w:sz="0" w:space="0" w:color="auto"/>
        <w:right w:val="none" w:sz="0" w:space="0" w:color="auto"/>
      </w:divBdr>
    </w:div>
    <w:div w:id="1808476746">
      <w:bodyDiv w:val="1"/>
      <w:marLeft w:val="0"/>
      <w:marRight w:val="0"/>
      <w:marTop w:val="0"/>
      <w:marBottom w:val="0"/>
      <w:divBdr>
        <w:top w:val="none" w:sz="0" w:space="0" w:color="auto"/>
        <w:left w:val="none" w:sz="0" w:space="0" w:color="auto"/>
        <w:bottom w:val="none" w:sz="0" w:space="0" w:color="auto"/>
        <w:right w:val="none" w:sz="0" w:space="0" w:color="auto"/>
      </w:divBdr>
    </w:div>
    <w:div w:id="1811820602">
      <w:bodyDiv w:val="1"/>
      <w:marLeft w:val="0"/>
      <w:marRight w:val="0"/>
      <w:marTop w:val="0"/>
      <w:marBottom w:val="0"/>
      <w:divBdr>
        <w:top w:val="none" w:sz="0" w:space="0" w:color="auto"/>
        <w:left w:val="none" w:sz="0" w:space="0" w:color="auto"/>
        <w:bottom w:val="none" w:sz="0" w:space="0" w:color="auto"/>
        <w:right w:val="none" w:sz="0" w:space="0" w:color="auto"/>
      </w:divBdr>
    </w:div>
    <w:div w:id="1812358675">
      <w:bodyDiv w:val="1"/>
      <w:marLeft w:val="0"/>
      <w:marRight w:val="0"/>
      <w:marTop w:val="0"/>
      <w:marBottom w:val="0"/>
      <w:divBdr>
        <w:top w:val="none" w:sz="0" w:space="0" w:color="auto"/>
        <w:left w:val="none" w:sz="0" w:space="0" w:color="auto"/>
        <w:bottom w:val="none" w:sz="0" w:space="0" w:color="auto"/>
        <w:right w:val="none" w:sz="0" w:space="0" w:color="auto"/>
      </w:divBdr>
    </w:div>
    <w:div w:id="1819684460">
      <w:bodyDiv w:val="1"/>
      <w:marLeft w:val="0"/>
      <w:marRight w:val="0"/>
      <w:marTop w:val="0"/>
      <w:marBottom w:val="0"/>
      <w:divBdr>
        <w:top w:val="none" w:sz="0" w:space="0" w:color="auto"/>
        <w:left w:val="none" w:sz="0" w:space="0" w:color="auto"/>
        <w:bottom w:val="none" w:sz="0" w:space="0" w:color="auto"/>
        <w:right w:val="none" w:sz="0" w:space="0" w:color="auto"/>
      </w:divBdr>
    </w:div>
    <w:div w:id="1837106104">
      <w:bodyDiv w:val="1"/>
      <w:marLeft w:val="0"/>
      <w:marRight w:val="0"/>
      <w:marTop w:val="0"/>
      <w:marBottom w:val="0"/>
      <w:divBdr>
        <w:top w:val="none" w:sz="0" w:space="0" w:color="auto"/>
        <w:left w:val="none" w:sz="0" w:space="0" w:color="auto"/>
        <w:bottom w:val="none" w:sz="0" w:space="0" w:color="auto"/>
        <w:right w:val="none" w:sz="0" w:space="0" w:color="auto"/>
      </w:divBdr>
    </w:div>
    <w:div w:id="1846362558">
      <w:bodyDiv w:val="1"/>
      <w:marLeft w:val="0"/>
      <w:marRight w:val="0"/>
      <w:marTop w:val="0"/>
      <w:marBottom w:val="0"/>
      <w:divBdr>
        <w:top w:val="none" w:sz="0" w:space="0" w:color="auto"/>
        <w:left w:val="none" w:sz="0" w:space="0" w:color="auto"/>
        <w:bottom w:val="none" w:sz="0" w:space="0" w:color="auto"/>
        <w:right w:val="none" w:sz="0" w:space="0" w:color="auto"/>
      </w:divBdr>
    </w:div>
    <w:div w:id="1848446486">
      <w:bodyDiv w:val="1"/>
      <w:marLeft w:val="0"/>
      <w:marRight w:val="0"/>
      <w:marTop w:val="0"/>
      <w:marBottom w:val="0"/>
      <w:divBdr>
        <w:top w:val="none" w:sz="0" w:space="0" w:color="auto"/>
        <w:left w:val="none" w:sz="0" w:space="0" w:color="auto"/>
        <w:bottom w:val="none" w:sz="0" w:space="0" w:color="auto"/>
        <w:right w:val="none" w:sz="0" w:space="0" w:color="auto"/>
      </w:divBdr>
    </w:div>
    <w:div w:id="1850486470">
      <w:bodyDiv w:val="1"/>
      <w:marLeft w:val="0"/>
      <w:marRight w:val="0"/>
      <w:marTop w:val="0"/>
      <w:marBottom w:val="0"/>
      <w:divBdr>
        <w:top w:val="none" w:sz="0" w:space="0" w:color="auto"/>
        <w:left w:val="none" w:sz="0" w:space="0" w:color="auto"/>
        <w:bottom w:val="none" w:sz="0" w:space="0" w:color="auto"/>
        <w:right w:val="none" w:sz="0" w:space="0" w:color="auto"/>
      </w:divBdr>
    </w:div>
    <w:div w:id="1859660360">
      <w:bodyDiv w:val="1"/>
      <w:marLeft w:val="0"/>
      <w:marRight w:val="0"/>
      <w:marTop w:val="0"/>
      <w:marBottom w:val="0"/>
      <w:divBdr>
        <w:top w:val="none" w:sz="0" w:space="0" w:color="auto"/>
        <w:left w:val="none" w:sz="0" w:space="0" w:color="auto"/>
        <w:bottom w:val="none" w:sz="0" w:space="0" w:color="auto"/>
        <w:right w:val="none" w:sz="0" w:space="0" w:color="auto"/>
      </w:divBdr>
    </w:div>
    <w:div w:id="1860197781">
      <w:bodyDiv w:val="1"/>
      <w:marLeft w:val="0"/>
      <w:marRight w:val="0"/>
      <w:marTop w:val="0"/>
      <w:marBottom w:val="0"/>
      <w:divBdr>
        <w:top w:val="none" w:sz="0" w:space="0" w:color="auto"/>
        <w:left w:val="none" w:sz="0" w:space="0" w:color="auto"/>
        <w:bottom w:val="none" w:sz="0" w:space="0" w:color="auto"/>
        <w:right w:val="none" w:sz="0" w:space="0" w:color="auto"/>
      </w:divBdr>
    </w:div>
    <w:div w:id="1899825033">
      <w:bodyDiv w:val="1"/>
      <w:marLeft w:val="0"/>
      <w:marRight w:val="0"/>
      <w:marTop w:val="0"/>
      <w:marBottom w:val="0"/>
      <w:divBdr>
        <w:top w:val="none" w:sz="0" w:space="0" w:color="auto"/>
        <w:left w:val="none" w:sz="0" w:space="0" w:color="auto"/>
        <w:bottom w:val="none" w:sz="0" w:space="0" w:color="auto"/>
        <w:right w:val="none" w:sz="0" w:space="0" w:color="auto"/>
      </w:divBdr>
    </w:div>
    <w:div w:id="1903758518">
      <w:bodyDiv w:val="1"/>
      <w:marLeft w:val="0"/>
      <w:marRight w:val="0"/>
      <w:marTop w:val="0"/>
      <w:marBottom w:val="0"/>
      <w:divBdr>
        <w:top w:val="none" w:sz="0" w:space="0" w:color="auto"/>
        <w:left w:val="none" w:sz="0" w:space="0" w:color="auto"/>
        <w:bottom w:val="none" w:sz="0" w:space="0" w:color="auto"/>
        <w:right w:val="none" w:sz="0" w:space="0" w:color="auto"/>
      </w:divBdr>
    </w:div>
    <w:div w:id="1917780872">
      <w:bodyDiv w:val="1"/>
      <w:marLeft w:val="0"/>
      <w:marRight w:val="0"/>
      <w:marTop w:val="0"/>
      <w:marBottom w:val="0"/>
      <w:divBdr>
        <w:top w:val="none" w:sz="0" w:space="0" w:color="auto"/>
        <w:left w:val="none" w:sz="0" w:space="0" w:color="auto"/>
        <w:bottom w:val="none" w:sz="0" w:space="0" w:color="auto"/>
        <w:right w:val="none" w:sz="0" w:space="0" w:color="auto"/>
      </w:divBdr>
    </w:div>
    <w:div w:id="1919896934">
      <w:bodyDiv w:val="1"/>
      <w:marLeft w:val="0"/>
      <w:marRight w:val="0"/>
      <w:marTop w:val="0"/>
      <w:marBottom w:val="0"/>
      <w:divBdr>
        <w:top w:val="none" w:sz="0" w:space="0" w:color="auto"/>
        <w:left w:val="none" w:sz="0" w:space="0" w:color="auto"/>
        <w:bottom w:val="none" w:sz="0" w:space="0" w:color="auto"/>
        <w:right w:val="none" w:sz="0" w:space="0" w:color="auto"/>
      </w:divBdr>
    </w:div>
    <w:div w:id="1938325278">
      <w:bodyDiv w:val="1"/>
      <w:marLeft w:val="0"/>
      <w:marRight w:val="0"/>
      <w:marTop w:val="0"/>
      <w:marBottom w:val="0"/>
      <w:divBdr>
        <w:top w:val="none" w:sz="0" w:space="0" w:color="auto"/>
        <w:left w:val="none" w:sz="0" w:space="0" w:color="auto"/>
        <w:bottom w:val="none" w:sz="0" w:space="0" w:color="auto"/>
        <w:right w:val="none" w:sz="0" w:space="0" w:color="auto"/>
      </w:divBdr>
    </w:div>
    <w:div w:id="1948270887">
      <w:bodyDiv w:val="1"/>
      <w:marLeft w:val="0"/>
      <w:marRight w:val="0"/>
      <w:marTop w:val="0"/>
      <w:marBottom w:val="0"/>
      <w:divBdr>
        <w:top w:val="none" w:sz="0" w:space="0" w:color="auto"/>
        <w:left w:val="none" w:sz="0" w:space="0" w:color="auto"/>
        <w:bottom w:val="none" w:sz="0" w:space="0" w:color="auto"/>
        <w:right w:val="none" w:sz="0" w:space="0" w:color="auto"/>
      </w:divBdr>
    </w:div>
    <w:div w:id="1952131652">
      <w:bodyDiv w:val="1"/>
      <w:marLeft w:val="0"/>
      <w:marRight w:val="0"/>
      <w:marTop w:val="0"/>
      <w:marBottom w:val="0"/>
      <w:divBdr>
        <w:top w:val="none" w:sz="0" w:space="0" w:color="auto"/>
        <w:left w:val="none" w:sz="0" w:space="0" w:color="auto"/>
        <w:bottom w:val="none" w:sz="0" w:space="0" w:color="auto"/>
        <w:right w:val="none" w:sz="0" w:space="0" w:color="auto"/>
      </w:divBdr>
    </w:div>
    <w:div w:id="1955138424">
      <w:bodyDiv w:val="1"/>
      <w:marLeft w:val="0"/>
      <w:marRight w:val="0"/>
      <w:marTop w:val="0"/>
      <w:marBottom w:val="0"/>
      <w:divBdr>
        <w:top w:val="none" w:sz="0" w:space="0" w:color="auto"/>
        <w:left w:val="none" w:sz="0" w:space="0" w:color="auto"/>
        <w:bottom w:val="none" w:sz="0" w:space="0" w:color="auto"/>
        <w:right w:val="none" w:sz="0" w:space="0" w:color="auto"/>
      </w:divBdr>
    </w:div>
    <w:div w:id="1959408522">
      <w:bodyDiv w:val="1"/>
      <w:marLeft w:val="0"/>
      <w:marRight w:val="0"/>
      <w:marTop w:val="0"/>
      <w:marBottom w:val="0"/>
      <w:divBdr>
        <w:top w:val="none" w:sz="0" w:space="0" w:color="auto"/>
        <w:left w:val="none" w:sz="0" w:space="0" w:color="auto"/>
        <w:bottom w:val="none" w:sz="0" w:space="0" w:color="auto"/>
        <w:right w:val="none" w:sz="0" w:space="0" w:color="auto"/>
      </w:divBdr>
    </w:div>
    <w:div w:id="1960062219">
      <w:bodyDiv w:val="1"/>
      <w:marLeft w:val="0"/>
      <w:marRight w:val="0"/>
      <w:marTop w:val="0"/>
      <w:marBottom w:val="0"/>
      <w:divBdr>
        <w:top w:val="none" w:sz="0" w:space="0" w:color="auto"/>
        <w:left w:val="none" w:sz="0" w:space="0" w:color="auto"/>
        <w:bottom w:val="none" w:sz="0" w:space="0" w:color="auto"/>
        <w:right w:val="none" w:sz="0" w:space="0" w:color="auto"/>
      </w:divBdr>
    </w:div>
    <w:div w:id="1973093098">
      <w:bodyDiv w:val="1"/>
      <w:marLeft w:val="0"/>
      <w:marRight w:val="0"/>
      <w:marTop w:val="0"/>
      <w:marBottom w:val="0"/>
      <w:divBdr>
        <w:top w:val="none" w:sz="0" w:space="0" w:color="auto"/>
        <w:left w:val="none" w:sz="0" w:space="0" w:color="auto"/>
        <w:bottom w:val="none" w:sz="0" w:space="0" w:color="auto"/>
        <w:right w:val="none" w:sz="0" w:space="0" w:color="auto"/>
      </w:divBdr>
    </w:div>
    <w:div w:id="1974561421">
      <w:bodyDiv w:val="1"/>
      <w:marLeft w:val="0"/>
      <w:marRight w:val="0"/>
      <w:marTop w:val="0"/>
      <w:marBottom w:val="0"/>
      <w:divBdr>
        <w:top w:val="none" w:sz="0" w:space="0" w:color="auto"/>
        <w:left w:val="none" w:sz="0" w:space="0" w:color="auto"/>
        <w:bottom w:val="none" w:sz="0" w:space="0" w:color="auto"/>
        <w:right w:val="none" w:sz="0" w:space="0" w:color="auto"/>
      </w:divBdr>
    </w:div>
    <w:div w:id="1989088505">
      <w:bodyDiv w:val="1"/>
      <w:marLeft w:val="0"/>
      <w:marRight w:val="0"/>
      <w:marTop w:val="0"/>
      <w:marBottom w:val="0"/>
      <w:divBdr>
        <w:top w:val="none" w:sz="0" w:space="0" w:color="auto"/>
        <w:left w:val="none" w:sz="0" w:space="0" w:color="auto"/>
        <w:bottom w:val="none" w:sz="0" w:space="0" w:color="auto"/>
        <w:right w:val="none" w:sz="0" w:space="0" w:color="auto"/>
      </w:divBdr>
    </w:div>
    <w:div w:id="1995331236">
      <w:bodyDiv w:val="1"/>
      <w:marLeft w:val="0"/>
      <w:marRight w:val="0"/>
      <w:marTop w:val="0"/>
      <w:marBottom w:val="0"/>
      <w:divBdr>
        <w:top w:val="none" w:sz="0" w:space="0" w:color="auto"/>
        <w:left w:val="none" w:sz="0" w:space="0" w:color="auto"/>
        <w:bottom w:val="none" w:sz="0" w:space="0" w:color="auto"/>
        <w:right w:val="none" w:sz="0" w:space="0" w:color="auto"/>
      </w:divBdr>
    </w:div>
    <w:div w:id="2012297582">
      <w:bodyDiv w:val="1"/>
      <w:marLeft w:val="0"/>
      <w:marRight w:val="0"/>
      <w:marTop w:val="0"/>
      <w:marBottom w:val="0"/>
      <w:divBdr>
        <w:top w:val="none" w:sz="0" w:space="0" w:color="auto"/>
        <w:left w:val="none" w:sz="0" w:space="0" w:color="auto"/>
        <w:bottom w:val="none" w:sz="0" w:space="0" w:color="auto"/>
        <w:right w:val="none" w:sz="0" w:space="0" w:color="auto"/>
      </w:divBdr>
    </w:div>
    <w:div w:id="2017612063">
      <w:bodyDiv w:val="1"/>
      <w:marLeft w:val="0"/>
      <w:marRight w:val="0"/>
      <w:marTop w:val="0"/>
      <w:marBottom w:val="0"/>
      <w:divBdr>
        <w:top w:val="none" w:sz="0" w:space="0" w:color="auto"/>
        <w:left w:val="none" w:sz="0" w:space="0" w:color="auto"/>
        <w:bottom w:val="none" w:sz="0" w:space="0" w:color="auto"/>
        <w:right w:val="none" w:sz="0" w:space="0" w:color="auto"/>
      </w:divBdr>
    </w:div>
    <w:div w:id="2020227684">
      <w:bodyDiv w:val="1"/>
      <w:marLeft w:val="0"/>
      <w:marRight w:val="0"/>
      <w:marTop w:val="0"/>
      <w:marBottom w:val="0"/>
      <w:divBdr>
        <w:top w:val="none" w:sz="0" w:space="0" w:color="auto"/>
        <w:left w:val="none" w:sz="0" w:space="0" w:color="auto"/>
        <w:bottom w:val="none" w:sz="0" w:space="0" w:color="auto"/>
        <w:right w:val="none" w:sz="0" w:space="0" w:color="auto"/>
      </w:divBdr>
    </w:div>
    <w:div w:id="2027562930">
      <w:bodyDiv w:val="1"/>
      <w:marLeft w:val="0"/>
      <w:marRight w:val="0"/>
      <w:marTop w:val="0"/>
      <w:marBottom w:val="0"/>
      <w:divBdr>
        <w:top w:val="none" w:sz="0" w:space="0" w:color="auto"/>
        <w:left w:val="none" w:sz="0" w:space="0" w:color="auto"/>
        <w:bottom w:val="none" w:sz="0" w:space="0" w:color="auto"/>
        <w:right w:val="none" w:sz="0" w:space="0" w:color="auto"/>
      </w:divBdr>
    </w:div>
    <w:div w:id="2050759357">
      <w:bodyDiv w:val="1"/>
      <w:marLeft w:val="0"/>
      <w:marRight w:val="0"/>
      <w:marTop w:val="0"/>
      <w:marBottom w:val="0"/>
      <w:divBdr>
        <w:top w:val="none" w:sz="0" w:space="0" w:color="auto"/>
        <w:left w:val="none" w:sz="0" w:space="0" w:color="auto"/>
        <w:bottom w:val="none" w:sz="0" w:space="0" w:color="auto"/>
        <w:right w:val="none" w:sz="0" w:space="0" w:color="auto"/>
      </w:divBdr>
    </w:div>
    <w:div w:id="2059544396">
      <w:bodyDiv w:val="1"/>
      <w:marLeft w:val="0"/>
      <w:marRight w:val="0"/>
      <w:marTop w:val="0"/>
      <w:marBottom w:val="0"/>
      <w:divBdr>
        <w:top w:val="none" w:sz="0" w:space="0" w:color="auto"/>
        <w:left w:val="none" w:sz="0" w:space="0" w:color="auto"/>
        <w:bottom w:val="none" w:sz="0" w:space="0" w:color="auto"/>
        <w:right w:val="none" w:sz="0" w:space="0" w:color="auto"/>
      </w:divBdr>
    </w:div>
    <w:div w:id="2072120270">
      <w:bodyDiv w:val="1"/>
      <w:marLeft w:val="0"/>
      <w:marRight w:val="0"/>
      <w:marTop w:val="0"/>
      <w:marBottom w:val="0"/>
      <w:divBdr>
        <w:top w:val="none" w:sz="0" w:space="0" w:color="auto"/>
        <w:left w:val="none" w:sz="0" w:space="0" w:color="auto"/>
        <w:bottom w:val="none" w:sz="0" w:space="0" w:color="auto"/>
        <w:right w:val="none" w:sz="0" w:space="0" w:color="auto"/>
      </w:divBdr>
    </w:div>
    <w:div w:id="2073042643">
      <w:bodyDiv w:val="1"/>
      <w:marLeft w:val="0"/>
      <w:marRight w:val="0"/>
      <w:marTop w:val="0"/>
      <w:marBottom w:val="0"/>
      <w:divBdr>
        <w:top w:val="none" w:sz="0" w:space="0" w:color="auto"/>
        <w:left w:val="none" w:sz="0" w:space="0" w:color="auto"/>
        <w:bottom w:val="none" w:sz="0" w:space="0" w:color="auto"/>
        <w:right w:val="none" w:sz="0" w:space="0" w:color="auto"/>
      </w:divBdr>
    </w:div>
    <w:div w:id="2075354610">
      <w:bodyDiv w:val="1"/>
      <w:marLeft w:val="0"/>
      <w:marRight w:val="0"/>
      <w:marTop w:val="0"/>
      <w:marBottom w:val="0"/>
      <w:divBdr>
        <w:top w:val="none" w:sz="0" w:space="0" w:color="auto"/>
        <w:left w:val="none" w:sz="0" w:space="0" w:color="auto"/>
        <w:bottom w:val="none" w:sz="0" w:space="0" w:color="auto"/>
        <w:right w:val="none" w:sz="0" w:space="0" w:color="auto"/>
      </w:divBdr>
    </w:div>
    <w:div w:id="2077504644">
      <w:bodyDiv w:val="1"/>
      <w:marLeft w:val="0"/>
      <w:marRight w:val="0"/>
      <w:marTop w:val="0"/>
      <w:marBottom w:val="0"/>
      <w:divBdr>
        <w:top w:val="none" w:sz="0" w:space="0" w:color="auto"/>
        <w:left w:val="none" w:sz="0" w:space="0" w:color="auto"/>
        <w:bottom w:val="none" w:sz="0" w:space="0" w:color="auto"/>
        <w:right w:val="none" w:sz="0" w:space="0" w:color="auto"/>
      </w:divBdr>
    </w:div>
    <w:div w:id="2079663905">
      <w:bodyDiv w:val="1"/>
      <w:marLeft w:val="0"/>
      <w:marRight w:val="0"/>
      <w:marTop w:val="0"/>
      <w:marBottom w:val="0"/>
      <w:divBdr>
        <w:top w:val="none" w:sz="0" w:space="0" w:color="auto"/>
        <w:left w:val="none" w:sz="0" w:space="0" w:color="auto"/>
        <w:bottom w:val="none" w:sz="0" w:space="0" w:color="auto"/>
        <w:right w:val="none" w:sz="0" w:space="0" w:color="auto"/>
      </w:divBdr>
    </w:div>
    <w:div w:id="2087795866">
      <w:bodyDiv w:val="1"/>
      <w:marLeft w:val="0"/>
      <w:marRight w:val="0"/>
      <w:marTop w:val="0"/>
      <w:marBottom w:val="0"/>
      <w:divBdr>
        <w:top w:val="none" w:sz="0" w:space="0" w:color="auto"/>
        <w:left w:val="none" w:sz="0" w:space="0" w:color="auto"/>
        <w:bottom w:val="none" w:sz="0" w:space="0" w:color="auto"/>
        <w:right w:val="none" w:sz="0" w:space="0" w:color="auto"/>
      </w:divBdr>
    </w:div>
    <w:div w:id="2088072739">
      <w:bodyDiv w:val="1"/>
      <w:marLeft w:val="0"/>
      <w:marRight w:val="0"/>
      <w:marTop w:val="0"/>
      <w:marBottom w:val="0"/>
      <w:divBdr>
        <w:top w:val="none" w:sz="0" w:space="0" w:color="auto"/>
        <w:left w:val="none" w:sz="0" w:space="0" w:color="auto"/>
        <w:bottom w:val="none" w:sz="0" w:space="0" w:color="auto"/>
        <w:right w:val="none" w:sz="0" w:space="0" w:color="auto"/>
      </w:divBdr>
    </w:div>
    <w:div w:id="2114590617">
      <w:bodyDiv w:val="1"/>
      <w:marLeft w:val="0"/>
      <w:marRight w:val="0"/>
      <w:marTop w:val="0"/>
      <w:marBottom w:val="0"/>
      <w:divBdr>
        <w:top w:val="none" w:sz="0" w:space="0" w:color="auto"/>
        <w:left w:val="none" w:sz="0" w:space="0" w:color="auto"/>
        <w:bottom w:val="none" w:sz="0" w:space="0" w:color="auto"/>
        <w:right w:val="none" w:sz="0" w:space="0" w:color="auto"/>
      </w:divBdr>
    </w:div>
    <w:div w:id="2119835281">
      <w:bodyDiv w:val="1"/>
      <w:marLeft w:val="0"/>
      <w:marRight w:val="0"/>
      <w:marTop w:val="0"/>
      <w:marBottom w:val="0"/>
      <w:divBdr>
        <w:top w:val="none" w:sz="0" w:space="0" w:color="auto"/>
        <w:left w:val="none" w:sz="0" w:space="0" w:color="auto"/>
        <w:bottom w:val="none" w:sz="0" w:space="0" w:color="auto"/>
        <w:right w:val="none" w:sz="0" w:space="0" w:color="auto"/>
      </w:divBdr>
    </w:div>
    <w:div w:id="2128696675">
      <w:bodyDiv w:val="1"/>
      <w:marLeft w:val="0"/>
      <w:marRight w:val="0"/>
      <w:marTop w:val="0"/>
      <w:marBottom w:val="0"/>
      <w:divBdr>
        <w:top w:val="none" w:sz="0" w:space="0" w:color="auto"/>
        <w:left w:val="none" w:sz="0" w:space="0" w:color="auto"/>
        <w:bottom w:val="none" w:sz="0" w:space="0" w:color="auto"/>
        <w:right w:val="none" w:sz="0" w:space="0" w:color="auto"/>
      </w:divBdr>
    </w:div>
    <w:div w:id="214114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D8526-E8A3-4019-9B6E-5A3D2E0B0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70</Pages>
  <Words>16361</Words>
  <Characters>89988</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César Romero</cp:lastModifiedBy>
  <cp:revision>10</cp:revision>
  <cp:lastPrinted>2025-07-25T18:46:00Z</cp:lastPrinted>
  <dcterms:created xsi:type="dcterms:W3CDTF">2025-07-24T19:58:00Z</dcterms:created>
  <dcterms:modified xsi:type="dcterms:W3CDTF">2025-07-28T06:34:00Z</dcterms:modified>
</cp:coreProperties>
</file>